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rPr>
          <w:rFonts w:ascii="Calibri" w:cs="Calibri" w:eastAsia="Calibri" w:hAnsi="Calibri"/>
          <w:b/>
          <w:bCs/>
          <w:sz w:val="40"/>
          <w:szCs w:val="40"/>
        </w:rPr>
        <w:t xml:space="preserve">Carbon Pricing 201: Affordability and Distributional Impacts</w:t>
      </w:r>
    </w:p>
    <w:p>
      <w:pPr>
        <w:spacing w:after="160"/>
      </w:pPr>
      <w:r>
        <w:rPr>
          <w:rFonts w:ascii="Calibri" w:cs="Calibri" w:eastAsia="Calibri" w:hAnsi="Calibri"/>
          <w:i/>
          <w:iCs/>
          <w:sz w:val="23"/>
          <w:szCs w:val="23"/>
        </w:rPr>
        <w:t xml:space="preserve">Citizens' Climate Lobby Carbon Pricing Education Series, Session 2 of 6 | Speaker: Marc Hafstead, Resources for the Future (RFF) | Host: Mindy Ahler, CCL</w:t>
      </w:r>
    </w:p>
    <w:p>
      <w:pPr>
        <w:spacing w:after="160"/>
      </w:pPr>
      <w:r>
        <w:rPr>
          <w:rFonts w:ascii="Calibri" w:cs="Calibri" w:eastAsia="Calibri" w:hAnsi="Calibri"/>
          <w:i/>
          <w:iCs/>
          <w:sz w:val="23"/>
          <w:szCs w:val="23"/>
        </w:rPr>
        <w:t xml:space="preserve">Editor's note: This version covers the complete recording (about 58 minutes). Timecodes are minutes:seconds from the start of the recording. The raw file had no speaker labels, so I assigned them from context. A list of name and term corrections, and items to verify, is at the end.</w:t>
      </w:r>
    </w:p>
    <w:p>
      <w:pPr>
        <w:pStyle w:val="Heading1"/>
        <w:spacing w:after="160" w:before="360"/>
      </w:pPr>
      <w:r>
        <w:rPr>
          <w:rFonts w:ascii="Calibri" w:cs="Calibri" w:eastAsia="Calibri" w:hAnsi="Calibri"/>
          <w:b/>
          <w:bCs/>
          <w:sz w:val="30"/>
          <w:szCs w:val="30"/>
        </w:rPr>
        <w:t xml:space="preserve">CCL's Intro and Series Overview</w:t>
      </w:r>
    </w:p>
    <w:p>
      <w:pPr>
        <w:spacing w:after="160" w:line="276"/>
      </w:pPr>
      <w:r>
        <w:rPr>
          <w:rFonts w:ascii="Calibri" w:cs="Calibri" w:eastAsia="Calibri" w:hAnsi="Calibri"/>
          <w:b/>
          <w:bCs/>
          <w:sz w:val="23"/>
          <w:szCs w:val="23"/>
        </w:rPr>
        <w:t xml:space="preserve">Mindy Ahler:</w:t>
      </w:r>
      <w:r>
        <w:rPr>
          <w:rFonts w:ascii="Calibri" w:cs="Calibri" w:eastAsia="Calibri" w:hAnsi="Calibri"/>
          <w:sz w:val="23"/>
          <w:szCs w:val="23"/>
        </w:rPr>
        <w:t xml:space="preserve"> [00:04] We are at the top of the hour, so I want to formally welcome you to our session tonight and wish you a very good evening. This is the second session of Citizens' Climate Lobby's Carbon Pricing Education Series, in partnership with Resources for the Future (RFF).</w:t>
      </w:r>
    </w:p>
    <w:p>
      <w:pPr>
        <w:spacing w:after="160" w:line="276"/>
      </w:pPr>
      <w:r>
        <w:rPr>
          <w:rFonts w:ascii="Calibri" w:cs="Calibri" w:eastAsia="Calibri" w:hAnsi="Calibri"/>
          <w:sz w:val="23"/>
          <w:szCs w:val="23"/>
        </w:rPr>
        <w:t xml:space="preserve">I am Mindy Ahler, CCL's Congressional Liaison Program Director and your host for tonight. Before we jump in, a big thank you to Marc Hafstead, our speaker tonight. Marc is a fellow at RFF and Director of RFF's Carbon Pricing Initiative. We are so appreciative of our partners at Resources for the Future for helping us put this series together and bringing their expertise to these conversations.</w:t>
      </w:r>
    </w:p>
    <w:p>
      <w:pPr>
        <w:spacing w:after="160" w:line="276"/>
      </w:pPr>
      <w:r>
        <w:rPr>
          <w:rFonts w:ascii="Calibri" w:cs="Calibri" w:eastAsia="Calibri" w:hAnsi="Calibri"/>
          <w:sz w:val="23"/>
          <w:szCs w:val="23"/>
        </w:rPr>
        <w:t xml:space="preserve">We also welcome our friends from other organizations, including RepublicEN, who are joining us tonight and throughout the series, in addition to all of our wonderful CCL volunteers.</w:t>
      </w:r>
    </w:p>
    <w:p>
      <w:pPr>
        <w:spacing w:after="160" w:line="276"/>
      </w:pPr>
      <w:r>
        <w:rPr>
          <w:rFonts w:ascii="Calibri" w:cs="Calibri" w:eastAsia="Calibri" w:hAnsi="Calibri"/>
          <w:sz w:val="23"/>
          <w:szCs w:val="23"/>
        </w:rPr>
        <w:t xml:space="preserve">This series is designed to build a shared foundation of understanding about carbon pricing. It covers how it works, what the research tells us, and the key considerations in designing effective policy, messaging, and strategy. Tonight is the second session. As we move along, we'll get into more of the complexities of carbon pricing. The content will get deeper and more detailed, and that's intentional. For our CCL volunteers, we'll have time in our follow-up feedback sessions to digest what we're learning, talk through questions, and discuss how it connects to our work.</w:t>
      </w:r>
    </w:p>
    <w:p>
      <w:pPr>
        <w:spacing w:after="160" w:line="276"/>
      </w:pPr>
      <w:r>
        <w:rPr>
          <w:rFonts w:ascii="Calibri" w:cs="Calibri" w:eastAsia="Calibri" w:hAnsi="Calibri"/>
          <w:sz w:val="23"/>
          <w:szCs w:val="23"/>
        </w:rPr>
        <w:t xml:space="preserve">[01:42] CCL has been working on carbon pricing for over a decade. In that time, the pricing and political landscape have shifted, and there have been significant international advancements. We put this series together to dive deeper into those changes. We want to learn from international carbon pricing and domestic developments so we can strengthen our understanding and build our most effective advocacy for carbon pricing.</w:t>
      </w:r>
    </w:p>
    <w:p>
      <w:pPr>
        <w:spacing w:after="160" w:line="276"/>
      </w:pPr>
      <w:r>
        <w:rPr>
          <w:rFonts w:ascii="Calibri" w:cs="Calibri" w:eastAsia="Calibri" w:hAnsi="Calibri"/>
          <w:sz w:val="23"/>
          <w:szCs w:val="23"/>
        </w:rPr>
        <w:t xml:space="preserve">Tonight is the second of our six sessions. We'll be diving into affordability and the distributional impacts of carbon pricing. We're putting a link in the chat to register for the following four sessions, and we'd love to have you join us for any or all of them. All sessions are recorded and available after they air live. You'll find the link for the first session on that page.</w:t>
      </w:r>
    </w:p>
    <w:p>
      <w:pPr>
        <w:spacing w:after="160" w:line="276"/>
      </w:pPr>
      <w:r>
        <w:rPr>
          <w:rFonts w:ascii="Calibri" w:cs="Calibri" w:eastAsia="Calibri" w:hAnsi="Calibri"/>
          <w:sz w:val="23"/>
          <w:szCs w:val="23"/>
        </w:rPr>
        <w:t xml:space="preserve">I encourage you to approach this and every session with curiosity and an open mind, ready to absorb the data Marc is going to share.</w:t>
      </w:r>
    </w:p>
    <w:p>
      <w:pPr>
        <w:spacing w:after="160" w:line="276"/>
      </w:pPr>
      <w:r>
        <w:rPr>
          <w:rFonts w:ascii="Calibri" w:cs="Calibri" w:eastAsia="Calibri" w:hAnsi="Calibri"/>
          <w:sz w:val="23"/>
          <w:szCs w:val="23"/>
        </w:rPr>
        <w:t xml:space="preserve">For our regular CCL volunteers, you're used to tracking your attendance. We have a slide here with a code you can scan with your phone, or you can click the link in the chat. If you're logged into Community, it will automatically log your attendance and help us track our progress.</w:t>
      </w:r>
    </w:p>
    <w:p>
      <w:pPr>
        <w:spacing w:after="160" w:line="276"/>
      </w:pPr>
      <w:r>
        <w:rPr>
          <w:rFonts w:ascii="Calibri" w:cs="Calibri" w:eastAsia="Calibri" w:hAnsi="Calibri"/>
          <w:sz w:val="23"/>
          <w:szCs w:val="23"/>
        </w:rPr>
        <w:t xml:space="preserve">Now I'm pleased to hand it over to our guest speaker tonight.</w:t>
      </w:r>
    </w:p>
    <w:p>
      <w:pPr>
        <w:pStyle w:val="Heading2"/>
        <w:spacing w:after="120" w:before="280"/>
      </w:pPr>
      <w:r>
        <w:rPr>
          <w:rFonts w:ascii="Calibri" w:cs="Calibri" w:eastAsia="Calibri" w:hAnsi="Calibri"/>
          <w:b/>
          <w:bCs/>
          <w:sz w:val="26"/>
          <w:szCs w:val="26"/>
        </w:rPr>
        <w:t xml:space="preserve">Introduction to RFF and Today's Agenda</w:t>
      </w:r>
    </w:p>
    <w:p>
      <w:pPr>
        <w:spacing w:after="160" w:line="276"/>
      </w:pPr>
      <w:r>
        <w:rPr>
          <w:rFonts w:ascii="Calibri" w:cs="Calibri" w:eastAsia="Calibri" w:hAnsi="Calibri"/>
          <w:b/>
          <w:bCs/>
          <w:sz w:val="23"/>
          <w:szCs w:val="23"/>
        </w:rPr>
        <w:t xml:space="preserve">Marc Hafstead:</w:t>
      </w:r>
      <w:r>
        <w:rPr>
          <w:rFonts w:ascii="Calibri" w:cs="Calibri" w:eastAsia="Calibri" w:hAnsi="Calibri"/>
          <w:sz w:val="23"/>
          <w:szCs w:val="23"/>
        </w:rPr>
        <w:t xml:space="preserve"> [03:30] Today we're going to talk about the distributional effects and affordability issues related to carbon pricing. Again, thank you all for being here.</w:t>
      </w:r>
    </w:p>
    <w:p>
      <w:pPr>
        <w:spacing w:after="160" w:line="276"/>
      </w:pPr>
      <w:r>
        <w:rPr>
          <w:rFonts w:ascii="Calibri" w:cs="Calibri" w:eastAsia="Calibri" w:hAnsi="Calibri"/>
          <w:sz w:val="23"/>
          <w:szCs w:val="23"/>
        </w:rPr>
        <w:t xml:space="preserve">Let me go over a few things we covered in our last webinar. Resources for the Future, where I work, is an independent nonprofit research institution in Washington, DC. Our mission is to improve environmental, energy, and natural resource decisions through impartial economic research and policy engagement. Importantly, we do not take institutional positions on legislative, regulatory, judicial, or other public policy matters. Everything I say here is my own opinion. It does not necessarily reflect the opinion of RFF as an organization or of any officer or member of RFF.</w:t>
      </w:r>
    </w:p>
    <w:p>
      <w:pPr>
        <w:spacing w:after="160" w:line="276"/>
      </w:pPr>
      <w:r>
        <w:rPr>
          <w:rFonts w:ascii="Calibri" w:cs="Calibri" w:eastAsia="Calibri" w:hAnsi="Calibri"/>
          <w:sz w:val="23"/>
          <w:szCs w:val="23"/>
        </w:rPr>
        <w:t xml:space="preserve">RFF studies many topics beyond carbon pricing. We do a lot of work on carbon markets, carbon accounting, climate risk and resilience, the power sector, land use and forestry, transportation, the energy transition, and climate policy at different levels of jurisdiction. If you want to learn more, please check out </w:t>
      </w:r>
      <w:hyperlink w:history="1" r:id="rIdvid4jq-zsgorju5pwhyct">
        <w:r>
          <w:rPr>
            <w:rStyle w:val="Hyperlink"/>
            <w:rFonts w:ascii="Calibri" w:cs="Calibri" w:eastAsia="Calibri" w:hAnsi="Calibri"/>
            <w:sz w:val="23"/>
            <w:szCs w:val="23"/>
          </w:rPr>
          <w:t xml:space="preserve">RFF's website</w:t>
        </w:r>
      </w:hyperlink>
      <w:r>
        <w:rPr>
          <w:rFonts w:ascii="Calibri" w:cs="Calibri" w:eastAsia="Calibri" w:hAnsi="Calibri"/>
          <w:sz w:val="23"/>
          <w:szCs w:val="23"/>
        </w:rPr>
        <w:t xml:space="preserve">.</w:t>
      </w:r>
    </w:p>
    <w:p>
      <w:pPr>
        <w:spacing w:after="160" w:line="276"/>
      </w:pPr>
      <w:r>
        <w:rPr>
          <w:rFonts w:ascii="Calibri" w:cs="Calibri" w:eastAsia="Calibri" w:hAnsi="Calibri"/>
          <w:sz w:val="23"/>
          <w:szCs w:val="23"/>
        </w:rPr>
        <w:t xml:space="preserve">I direct RFF's Carbon Pricing Initiative. If you can access these slides later, the links are live. We have a Carbon Pricing Calculator, a Carbon Pricing Bill Tracker, and a Carbon Pricing Explainer Series. They are all slightly dated, but they give good information on the building blocks of carbon pricing, and even some of what we'll discuss today.</w:t>
      </w:r>
    </w:p>
    <w:p>
      <w:pPr>
        <w:spacing w:after="160" w:line="276"/>
      </w:pPr>
      <w:r>
        <w:rPr>
          <w:rFonts w:ascii="Calibri" w:cs="Calibri" w:eastAsia="Calibri" w:hAnsi="Calibri"/>
          <w:sz w:val="23"/>
          <w:szCs w:val="23"/>
        </w:rPr>
        <w:t xml:space="preserve">A little about me. I'm Dr. Marc Hafstead. I was raised in Minnesota, but I'm currently a resident of New Mexico. I have a PhD from Stanford, and I joined RFF in 2013. As I said, I direct our Carbon Pricing Initiative.</w:t>
      </w:r>
    </w:p>
    <w:p>
      <w:pPr>
        <w:spacing w:after="160" w:line="276"/>
      </w:pPr>
      <w:r>
        <w:rPr>
          <w:rFonts w:ascii="Calibri" w:cs="Calibri" w:eastAsia="Calibri" w:hAnsi="Calibri"/>
          <w:sz w:val="23"/>
          <w:szCs w:val="23"/>
        </w:rPr>
        <w:t xml:space="preserve">[05:32] We hold this carbon pricing series with Citizens' Climate Lobby on the first Thursday of every month. If you missed the last one, that was Carbon Pricing 101, and you can find the recording online. Today's topic is affordability and the distributional impacts of carbon pricing. In our next few sessions, we'll cover current policy trends, intensity standards, U.S. state and local developments, and finally a global look at carbon pricing. I hope you can join us for the rest of the series. We're at number two of six.</w:t>
      </w:r>
    </w:p>
    <w:p>
      <w:pPr>
        <w:spacing w:after="160" w:line="276"/>
      </w:pPr>
      <w:r>
        <w:rPr>
          <w:rFonts w:ascii="Calibri" w:cs="Calibri" w:eastAsia="Calibri" w:hAnsi="Calibri"/>
          <w:sz w:val="23"/>
          <w:szCs w:val="23"/>
        </w:rPr>
        <w:t xml:space="preserve">Here is what I want to cover over the next 35 or 40 minutes. First, definitions. What do I mean by "affordability," and what do I mean by "distributional impacts"? Different people define these words differently. You can certainly use them in other contexts, but I want us all on the same page when I use them. Then we'll go through the distributional impacts of carbon pricing, then options to improve the affordability of carbon pricing. Finally, I'll walk through a couple of RFF data tools you can explore on your own time.</w:t>
      </w:r>
    </w:p>
    <w:p>
      <w:pPr>
        <w:pStyle w:val="Heading1"/>
        <w:spacing w:after="160" w:before="360"/>
      </w:pPr>
      <w:r>
        <w:rPr>
          <w:rFonts w:ascii="Calibri" w:cs="Calibri" w:eastAsia="Calibri" w:hAnsi="Calibri"/>
          <w:b/>
          <w:bCs/>
          <w:sz w:val="30"/>
          <w:szCs w:val="30"/>
        </w:rPr>
        <w:t xml:space="preserve">Definitions</w:t>
      </w:r>
    </w:p>
    <w:p>
      <w:pPr>
        <w:spacing w:after="160" w:line="276"/>
      </w:pPr>
      <w:r>
        <w:rPr>
          <w:rFonts w:ascii="Calibri" w:cs="Calibri" w:eastAsia="Calibri" w:hAnsi="Calibri"/>
          <w:b/>
          <w:bCs/>
          <w:sz w:val="23"/>
          <w:szCs w:val="23"/>
        </w:rPr>
        <w:t xml:space="preserve">Marc Hafstead:</w:t>
      </w:r>
      <w:r>
        <w:rPr>
          <w:rFonts w:ascii="Calibri" w:cs="Calibri" w:eastAsia="Calibri" w:hAnsi="Calibri"/>
          <w:sz w:val="23"/>
          <w:szCs w:val="23"/>
        </w:rPr>
        <w:t xml:space="preserve"> [07:02] First, distributional impacts. When we look at policies, we can think of the total economic losses of a policy, and then allocate those losses across industries and households. Here I'm primarily thinking about the distribution of the costs of a policy, not the distribution of its benefits. We certainly have benefits through reduced climate change, reduced carbon emissions, and reduced co-pollutants. But when I say distributional impacts, I mean the distribution of cost.</w:t>
      </w:r>
    </w:p>
    <w:p>
      <w:pPr>
        <w:spacing w:after="160" w:line="276"/>
      </w:pPr>
      <w:r>
        <w:rPr>
          <w:rFonts w:ascii="Calibri" w:cs="Calibri" w:eastAsia="Calibri" w:hAnsi="Calibri"/>
          <w:sz w:val="23"/>
          <w:szCs w:val="23"/>
        </w:rPr>
        <w:t xml:space="preserve">I'm also primarily talking about relative impacts across groups. Why? Household groups have different spending patterns and different income sources, so an economic policy like carbon pricing will affect them differently. We can then define policies as progressive or regressive based on relative impacts across groups, such as household income groups. A progressive policy has a smaller relative impact on low-income and middle-income households. A regressive policy has higher relative impacts on low-income or middle-income households than on high-income households.</w:t>
      </w:r>
    </w:p>
    <w:p>
      <w:pPr>
        <w:spacing w:after="160" w:line="276"/>
      </w:pPr>
      <w:r>
        <w:rPr>
          <w:rFonts w:ascii="Calibri" w:cs="Calibri" w:eastAsia="Calibri" w:hAnsi="Calibri"/>
          <w:sz w:val="23"/>
          <w:szCs w:val="23"/>
        </w:rPr>
        <w:t xml:space="preserve">We can also think about variability within an income group. I'll discuss some studies that find that within-group variability is greater than across-group variability. And groups don't have to be defined by income. We can define them by geography, region, or urban versus rural. But I think when many people think about distributional impacts, they are also thinking about the impacts on historically overburdened communities.</w:t>
      </w:r>
    </w:p>
    <w:p>
      <w:pPr>
        <w:spacing w:after="160" w:line="276"/>
      </w:pPr>
      <w:r>
        <w:rPr>
          <w:rFonts w:ascii="Calibri" w:cs="Calibri" w:eastAsia="Calibri" w:hAnsi="Calibri"/>
          <w:sz w:val="23"/>
          <w:szCs w:val="23"/>
        </w:rPr>
        <w:t xml:space="preserve">[09:08] I'll use a few more definitions as I go through the results of these papers.</w:t>
      </w:r>
    </w:p>
    <w:p>
      <w:pPr>
        <w:spacing w:after="160" w:line="276"/>
      </w:pPr>
      <w:r>
        <w:rPr>
          <w:rFonts w:ascii="Calibri" w:cs="Calibri" w:eastAsia="Calibri" w:hAnsi="Calibri"/>
          <w:b/>
          <w:bCs/>
          <w:sz w:val="23"/>
          <w:szCs w:val="23"/>
        </w:rPr>
        <w:t xml:space="preserve">Use-side impacts</w:t>
      </w:r>
      <w:r>
        <w:rPr>
          <w:rFonts w:ascii="Calibri" w:cs="Calibri" w:eastAsia="Calibri" w:hAnsi="Calibri"/>
          <w:sz w:val="23"/>
          <w:szCs w:val="23"/>
        </w:rPr>
        <w:t xml:space="preserve"> are changes in a household's welfare caused by changes in the prices of goods and services. Fix a person's income, change the relative prices of goods and services through policy, and ask how that makes people better or worse off. Then we look at the relative impact across groups.</w:t>
      </w:r>
    </w:p>
    <w:p>
      <w:pPr>
        <w:spacing w:after="160" w:line="276"/>
      </w:pPr>
      <w:r>
        <w:rPr>
          <w:rFonts w:ascii="Calibri" w:cs="Calibri" w:eastAsia="Calibri" w:hAnsi="Calibri"/>
          <w:b/>
          <w:bCs/>
          <w:sz w:val="23"/>
          <w:szCs w:val="23"/>
        </w:rPr>
        <w:t xml:space="preserve">Source-side impacts</w:t>
      </w:r>
      <w:r>
        <w:rPr>
          <w:rFonts w:ascii="Calibri" w:cs="Calibri" w:eastAsia="Calibri" w:hAnsi="Calibri"/>
          <w:sz w:val="23"/>
          <w:szCs w:val="23"/>
        </w:rPr>
        <w:t xml:space="preserve"> work the other way. Hold the prices of goods and services fixed, and look at changes in welfare caused by changes in the value of labor, capital, and transfer endowments. That could be wages, the return to capital, or the economic value of transfers such as Social Security payments and other transfers from the U.S. federal government.</w:t>
      </w:r>
    </w:p>
    <w:p>
      <w:pPr>
        <w:spacing w:after="160" w:line="276"/>
      </w:pPr>
      <w:r>
        <w:rPr>
          <w:rFonts w:ascii="Calibri" w:cs="Calibri" w:eastAsia="Calibri" w:hAnsi="Calibri"/>
          <w:b/>
          <w:bCs/>
          <w:sz w:val="23"/>
          <w:szCs w:val="23"/>
        </w:rPr>
        <w:t xml:space="preserve">Net impacts</w:t>
      </w:r>
      <w:r>
        <w:rPr>
          <w:rFonts w:ascii="Calibri" w:cs="Calibri" w:eastAsia="Calibri" w:hAnsi="Calibri"/>
          <w:sz w:val="23"/>
          <w:szCs w:val="23"/>
        </w:rPr>
        <w:t xml:space="preserve"> are changes in welfare that jointly account for both the use-side and source-side impacts.</w:t>
      </w:r>
    </w:p>
    <w:p>
      <w:pPr>
        <w:spacing w:after="160" w:line="276"/>
      </w:pPr>
      <w:r>
        <w:rPr>
          <w:rFonts w:ascii="Calibri" w:cs="Calibri" w:eastAsia="Calibri" w:hAnsi="Calibri"/>
          <w:sz w:val="23"/>
          <w:szCs w:val="23"/>
        </w:rPr>
        <w:t xml:space="preserve">[10:19] Now, </w:t>
      </w:r>
      <w:r>
        <w:rPr>
          <w:rFonts w:ascii="Calibri" w:cs="Calibri" w:eastAsia="Calibri" w:hAnsi="Calibri"/>
          <w:b/>
          <w:bCs/>
          <w:sz w:val="23"/>
          <w:szCs w:val="23"/>
        </w:rPr>
        <w:t xml:space="preserve">affordability</w:t>
      </w:r>
      <w:r>
        <w:rPr>
          <w:rFonts w:ascii="Calibri" w:cs="Calibri" w:eastAsia="Calibri" w:hAnsi="Calibri"/>
          <w:sz w:val="23"/>
          <w:szCs w:val="23"/>
        </w:rPr>
        <w:t xml:space="preserve">. The way I define it, affordability is how a policy will affect the absolute price of one or more goods and services purchased by households. Often the question is what happens to the price of gasoline or the price of electricity. That usually ignores the impact on businesses, and the price pass-through when businesses pass along their costs.</w:t>
      </w:r>
    </w:p>
    <w:p>
      <w:pPr>
        <w:spacing w:after="160" w:line="276"/>
      </w:pPr>
      <w:r>
        <w:rPr>
          <w:rFonts w:ascii="Calibri" w:cs="Calibri" w:eastAsia="Calibri" w:hAnsi="Calibri"/>
          <w:sz w:val="23"/>
          <w:szCs w:val="23"/>
        </w:rPr>
        <w:t xml:space="preserve">That isn't always the case. Recently, with the geopolitical events, we've been talking about businesses buying diesel fuel and passing those costs through to households. So affordability doesn't always ignore impacts on businesses. But most of the time, when we talk about affordability, we are really thinking about the prices households face.</w:t>
      </w:r>
    </w:p>
    <w:p>
      <w:pPr>
        <w:pStyle w:val="Heading1"/>
        <w:spacing w:after="160" w:before="360"/>
      </w:pPr>
      <w:r>
        <w:rPr>
          <w:rFonts w:ascii="Calibri" w:cs="Calibri" w:eastAsia="Calibri" w:hAnsi="Calibri"/>
          <w:b/>
          <w:bCs/>
          <w:sz w:val="30"/>
          <w:szCs w:val="30"/>
        </w:rPr>
        <w:t xml:space="preserve">Distributional Impacts</w:t>
      </w:r>
    </w:p>
    <w:p>
      <w:pPr>
        <w:spacing w:after="160" w:line="276"/>
      </w:pPr>
      <w:r>
        <w:rPr>
          <w:rFonts w:ascii="Calibri" w:cs="Calibri" w:eastAsia="Calibri" w:hAnsi="Calibri"/>
          <w:b/>
          <w:bCs/>
          <w:sz w:val="23"/>
          <w:szCs w:val="23"/>
        </w:rPr>
        <w:t xml:space="preserve">Marc Hafstead:</w:t>
      </w:r>
      <w:r>
        <w:rPr>
          <w:rFonts w:ascii="Calibri" w:cs="Calibri" w:eastAsia="Calibri" w:hAnsi="Calibri"/>
          <w:sz w:val="23"/>
          <w:szCs w:val="23"/>
        </w:rPr>
        <w:t xml:space="preserve"> [11:23] I'll go through the distributional impacts of carbon pricing using a few economic papers, including one that I wrote.</w:t>
      </w:r>
    </w:p>
    <w:p>
      <w:pPr>
        <w:pStyle w:val="Heading2"/>
        <w:spacing w:after="120" w:before="280"/>
      </w:pPr>
      <w:r>
        <w:rPr>
          <w:rFonts w:ascii="Calibri" w:cs="Calibri" w:eastAsia="Calibri" w:hAnsi="Calibri"/>
          <w:b/>
          <w:bCs/>
          <w:sz w:val="26"/>
          <w:szCs w:val="26"/>
        </w:rPr>
        <w:t xml:space="preserve">Early studies</w:t>
      </w:r>
    </w:p>
    <w:p>
      <w:pPr>
        <w:spacing w:after="160" w:line="276"/>
      </w:pPr>
      <w:r>
        <w:rPr>
          <w:rFonts w:ascii="Calibri" w:cs="Calibri" w:eastAsia="Calibri" w:hAnsi="Calibri"/>
          <w:sz w:val="23"/>
          <w:szCs w:val="23"/>
        </w:rPr>
        <w:t xml:space="preserve">People have studied the distributional impacts of carbon pricing across U.S. income groups for a long time. One of the first papers was Grainger and Kolstad in 2010. It focused entirely on use-side impacts and found carbon pricing to be regressive. It looked only at the effect on prices, not the source side.</w:t>
      </w:r>
    </w:p>
    <w:p>
      <w:pPr>
        <w:spacing w:after="160" w:line="276"/>
      </w:pPr>
      <w:r>
        <w:rPr>
          <w:rFonts w:ascii="Calibri" w:cs="Calibri" w:eastAsia="Calibri" w:hAnsi="Calibri"/>
          <w:sz w:val="23"/>
          <w:szCs w:val="23"/>
        </w:rPr>
        <w:t xml:space="preserve">Two papers, Rausch et al. and Williams et al., showed that when you consider the source side, lump-sum dividends make the source side progressive. That can offset the regressive use-side impacts. So overall, lump-sum recycling is progressive.</w:t>
      </w:r>
    </w:p>
    <w:p>
      <w:pPr>
        <w:spacing w:after="160" w:line="276"/>
      </w:pPr>
      <w:r>
        <w:rPr>
          <w:rFonts w:ascii="Calibri" w:cs="Calibri" w:eastAsia="Calibri" w:hAnsi="Calibri"/>
          <w:sz w:val="23"/>
          <w:szCs w:val="23"/>
        </w:rPr>
        <w:t xml:space="preserve">[12:23] A 2011 paper by Fullerton et al. showed that the progressivity of U.S. transfer program indexing can largely offset the regressive use-side impacts. This is the indexing of transfer payments to households based on changes in the CPI. I'll say more about that in a minute.</w:t>
      </w:r>
    </w:p>
    <w:p>
      <w:pPr>
        <w:pStyle w:val="Heading2"/>
        <w:spacing w:after="120" w:before="280"/>
      </w:pPr>
      <w:r>
        <w:rPr>
          <w:rFonts w:ascii="Calibri" w:cs="Calibri" w:eastAsia="Calibri" w:hAnsi="Calibri"/>
          <w:b/>
          <w:bCs/>
          <w:sz w:val="26"/>
          <w:szCs w:val="26"/>
        </w:rPr>
        <w:t xml:space="preserve">The Treasury study</w:t>
      </w:r>
    </w:p>
    <w:p>
      <w:pPr>
        <w:spacing w:after="160" w:line="276"/>
      </w:pPr>
      <w:r>
        <w:rPr>
          <w:rFonts w:ascii="Calibri" w:cs="Calibri" w:eastAsia="Calibri" w:hAnsi="Calibri"/>
          <w:sz w:val="23"/>
          <w:szCs w:val="23"/>
        </w:rPr>
        <w:t xml:space="preserve">[12:47] There's also a famous 2017 paper by Horowitz et al., published by the U.S. Treasury at the very end of the Obama administration. The authors took a sample of U.S. taxpayers and looked at their tax returns. They linked income and location to spending patterns, then calculated how much after-tax income would change after a carbon price. A negative number means a household is worse off, because after-tax income goes down after a federal carbon tax is instituted. A positive number means a household is better off. These are average impacts across income deciles.</w:t>
      </w:r>
    </w:p>
    <w:p>
      <w:pPr>
        <w:spacing w:after="160" w:line="276"/>
      </w:pPr>
      <w:r>
        <w:rPr>
          <w:rFonts w:ascii="Calibri" w:cs="Calibri" w:eastAsia="Calibri" w:hAnsi="Calibri"/>
          <w:sz w:val="23"/>
          <w:szCs w:val="23"/>
        </w:rPr>
        <w:t xml:space="preserve">If we ignore revenue recycling, which is like putting all the money in a pile and burning it, the policy is basically proportional. Each household group sees a decline in after-tax income of between 0.8% and 1.5%. There is no strong pattern of progressivity or regressivity. This also accounts for transfer indexing.</w:t>
      </w:r>
    </w:p>
    <w:p>
      <w:pPr>
        <w:spacing w:after="160" w:line="276"/>
      </w:pPr>
      <w:r>
        <w:rPr>
          <w:rFonts w:ascii="Calibri" w:cs="Calibri" w:eastAsia="Calibri" w:hAnsi="Calibri"/>
          <w:sz w:val="23"/>
          <w:szCs w:val="23"/>
        </w:rPr>
        <w:t xml:space="preserve">[14:27] But when they consider a per-person rebate, in their $49 per metric ton carbon tax example, the rebates are extremely progressive. The average family in deciles 1 through 7 is better off. One way people have interpreted this is that 70% of U.S. households are better off with a carbon tax and a rebate than with no carbon tax. If you look at the other columns that aren't highlighted, you can see that how you recycle the revenue really helps determine whether the policy is progressive or regressive. That will be a common theme throughout.</w:t>
      </w:r>
    </w:p>
    <w:p>
      <w:pPr>
        <w:pStyle w:val="Heading2"/>
        <w:spacing w:after="120" w:before="280"/>
      </w:pPr>
      <w:r>
        <w:rPr>
          <w:rFonts w:ascii="Calibri" w:cs="Calibri" w:eastAsia="Calibri" w:hAnsi="Calibri"/>
          <w:b/>
          <w:bCs/>
          <w:sz w:val="26"/>
          <w:szCs w:val="26"/>
        </w:rPr>
        <w:t xml:space="preserve">Heterogeneity within income groups</w:t>
      </w:r>
    </w:p>
    <w:p>
      <w:pPr>
        <w:spacing w:after="160" w:line="276"/>
      </w:pPr>
      <w:r>
        <w:rPr>
          <w:rFonts w:ascii="Calibri" w:cs="Calibri" w:eastAsia="Calibri" w:hAnsi="Calibri"/>
          <w:sz w:val="23"/>
          <w:szCs w:val="23"/>
        </w:rPr>
        <w:t xml:space="preserve">[15:22] Cronin, who was an author of that Treasury paper, published a paper in 2019 with two other co-authors, Don Fullerton and Steve Sexton. They used a very similar data set of U.S. taxpayers. With a large sample, they could look at the incidence of the carbon price within deciles, not just across deciles. They found significant heterogeneity in the impacts within deciles.</w:t>
      </w:r>
    </w:p>
    <w:p>
      <w:pPr>
        <w:spacing w:after="160" w:line="276"/>
      </w:pPr>
      <w:r>
        <w:rPr>
          <w:rFonts w:ascii="Calibri" w:cs="Calibri" w:eastAsia="Calibri" w:hAnsi="Calibri"/>
          <w:sz w:val="23"/>
          <w:szCs w:val="23"/>
        </w:rPr>
        <w:t xml:space="preserve">This figure from their paper shows the per-person rebate for the ten deciles. It shows the 10th-to-90th percentile range of outcomes for households within each decile. Households in deciles 1 through 4 are all better off with the carbon price and lump-sum rebating, because all those numbers are negative. Even so, there's significant heterogeneity within each group. Spending patterns can be very different even within tightly defined income groups, for reasons as simple as urban versus rural geography.</w:t>
      </w:r>
    </w:p>
    <w:p>
      <w:pPr>
        <w:spacing w:after="160" w:line="276"/>
      </w:pPr>
      <w:r>
        <w:rPr>
          <w:rFonts w:ascii="Calibri" w:cs="Calibri" w:eastAsia="Calibri" w:hAnsi="Calibri"/>
          <w:sz w:val="23"/>
          <w:szCs w:val="23"/>
        </w:rPr>
        <w:t xml:space="preserve">[16:56] As we move to the fifth, sixth, and seventh deciles, the average household is better off, but a large proportion of households are worse off. There are ways to try to mitigate that. They looked at a couple of options, such as a carbon tax with a combined transfer and Earned Income Tax Credit, or a carbon tax with a payroll tax or Social Security benefit rebate. Even then, there's still a lot of heterogeneity within deciles. When we talk about average impacts on an income group, please be aware that there is still a lot of heterogeneity within those groups.</w:t>
      </w:r>
    </w:p>
    <w:p>
      <w:pPr>
        <w:pStyle w:val="Heading2"/>
        <w:spacing w:after="120" w:before="280"/>
      </w:pPr>
      <w:r>
        <w:rPr>
          <w:rFonts w:ascii="Calibri" w:cs="Calibri" w:eastAsia="Calibri" w:hAnsi="Calibri"/>
          <w:b/>
          <w:bCs/>
          <w:sz w:val="26"/>
          <w:szCs w:val="26"/>
        </w:rPr>
        <w:t xml:space="preserve">The Goulder, Hafstead, Kim, and Long paper</w:t>
      </w:r>
    </w:p>
    <w:p>
      <w:pPr>
        <w:spacing w:after="160" w:line="276"/>
      </w:pPr>
      <w:r>
        <w:rPr>
          <w:rFonts w:ascii="Calibri" w:cs="Calibri" w:eastAsia="Calibri" w:hAnsi="Calibri"/>
          <w:sz w:val="23"/>
          <w:szCs w:val="23"/>
        </w:rPr>
        <w:t xml:space="preserve">[17:52] Now I'll go into more detail using a paper I wrote. It's "Impacts of a U.S. Carbon Tax Across Income Groups," by Goulder, Hafstead, Kim, and Long, published in 2019 in the </w:t>
      </w:r>
      <w:r>
        <w:rPr>
          <w:rFonts w:ascii="Calibri" w:cs="Calibri" w:eastAsia="Calibri" w:hAnsi="Calibri"/>
          <w:i/>
          <w:iCs/>
          <w:sz w:val="23"/>
          <w:szCs w:val="23"/>
        </w:rPr>
        <w:t xml:space="preserve">Journal of Public Economics</w:t>
      </w:r>
      <w:r>
        <w:rPr>
          <w:rFonts w:ascii="Calibri" w:cs="Calibri" w:eastAsia="Calibri" w:hAnsi="Calibri"/>
          <w:sz w:val="23"/>
          <w:szCs w:val="23"/>
        </w:rPr>
        <w:t xml:space="preserve">. I'm proud to say it won the Atkinson Award for the best paper published in that journal between 2018 and 2020.</w:t>
      </w:r>
    </w:p>
    <w:p>
      <w:pPr>
        <w:spacing w:after="160" w:line="276"/>
      </w:pPr>
      <w:r>
        <w:rPr>
          <w:rFonts w:ascii="Calibri" w:cs="Calibri" w:eastAsia="Calibri" w:hAnsi="Calibri"/>
          <w:sz w:val="23"/>
          <w:szCs w:val="23"/>
        </w:rPr>
        <w:t xml:space="preserve">What did we do? First, we provide a consistent theoretical and numerical approach to the effects of a carbon tax across income groups. We carefully decompose the welfare costs into use-side and source-side effects by household group. We take a broader definition of use-side and source-side impacts, including the value of time and leisure. We examine distributional impacts over time instead of a snapshot in one period. And we consider policies with and without targeted compensation.</w:t>
      </w:r>
    </w:p>
    <w:p>
      <w:pPr>
        <w:pStyle w:val="Heading2"/>
        <w:spacing w:after="120" w:before="280"/>
      </w:pPr>
      <w:r>
        <w:rPr>
          <w:rFonts w:ascii="Calibri" w:cs="Calibri" w:eastAsia="Calibri" w:hAnsi="Calibri"/>
          <w:b/>
          <w:bCs/>
          <w:sz w:val="26"/>
          <w:szCs w:val="26"/>
        </w:rPr>
        <w:t xml:space="preserve">Why distributional effects exist</w:t>
      </w:r>
    </w:p>
    <w:p>
      <w:pPr>
        <w:spacing w:after="160" w:line="276"/>
      </w:pPr>
      <w:r>
        <w:rPr>
          <w:rFonts w:ascii="Calibri" w:cs="Calibri" w:eastAsia="Calibri" w:hAnsi="Calibri"/>
          <w:sz w:val="23"/>
          <w:szCs w:val="23"/>
        </w:rPr>
        <w:t xml:space="preserve">[18:57] Table 3 in our paper shows average after-tax income shares by source, by quintile. We look at quintiles here, not deciles. We don't have access to the U.S. Treasury's database of taxpayers. We rely on the Survey of Consumer Finances, which has about 5,000 households. For statistical reasons, we can't get very detailed within quintiles, and we can't look at the heterogeneity I just described. That is simply because we don't have access to that very confidential data.</w:t>
      </w:r>
    </w:p>
    <w:p>
      <w:pPr>
        <w:spacing w:after="160" w:line="276"/>
      </w:pPr>
      <w:r>
        <w:rPr>
          <w:rFonts w:ascii="Calibri" w:cs="Calibri" w:eastAsia="Calibri" w:hAnsi="Calibri"/>
          <w:sz w:val="23"/>
          <w:szCs w:val="23"/>
        </w:rPr>
        <w:t xml:space="preserve">In Quintile 1, about half of income comes from labor, but a large fraction comes from transfer income. In Quintile 3, the middle-income group, almost all income comes from labor, and very little comes from capital or transfers. In Quintile 5, about half of income comes from labor and almost half comes from capital. If we looked at the top 5%, the top 1%, or the top 0.1%, it would be even more skewed. Most of the returns to capital in this country go to the very rich. So if a carbon tax has differential impacts on labor, capital, or transfer income, it will have differential effects on these groups.</w:t>
      </w:r>
    </w:p>
    <w:p>
      <w:pPr>
        <w:spacing w:after="160" w:line="276"/>
      </w:pPr>
      <w:r>
        <w:rPr>
          <w:rFonts w:ascii="Calibri" w:cs="Calibri" w:eastAsia="Calibri" w:hAnsi="Calibri"/>
          <w:sz w:val="23"/>
          <w:szCs w:val="23"/>
        </w:rPr>
        <w:t xml:space="preserve">[20:44] Expenditure shares by good also differ by quintile. Look at motor vehicle fuels. Quintile 1 spends 3.9% of its income on them, and Quintile 3 spends 4.7%. We call this a U shape. Many households in Quintile 1 don't have cars, so they don't use motor fuels. Quintile 3 includes many middle-income households with multiple vehicles, and they spend a larger fraction of their income on fuels than other groups.</w:t>
      </w:r>
    </w:p>
    <w:p>
      <w:pPr>
        <w:spacing w:after="160" w:line="276"/>
      </w:pPr>
      <w:r>
        <w:rPr>
          <w:rFonts w:ascii="Calibri" w:cs="Calibri" w:eastAsia="Calibri" w:hAnsi="Calibri"/>
          <w:sz w:val="23"/>
          <w:szCs w:val="23"/>
        </w:rPr>
        <w:t xml:space="preserve">Electricity is a different story. By far, lower-income groups spend a much higher fraction of income on electricity, natural gas, and utilities than higher-income groups. Any policy that affects the price of electricity or natural gas will affect Quintile 1 differently than Quintile 5. So lower-income households tend to spend a greater fraction of their consumption on energy than higher-income households, although that isn't always true for motor vehicle fuels.</w:t>
      </w:r>
    </w:p>
    <w:p>
      <w:pPr>
        <w:pStyle w:val="Heading2"/>
        <w:spacing w:after="120" w:before="280"/>
      </w:pPr>
      <w:r>
        <w:rPr>
          <w:rFonts w:ascii="Calibri" w:cs="Calibri" w:eastAsia="Calibri" w:hAnsi="Calibri"/>
          <w:b/>
          <w:bCs/>
          <w:sz w:val="26"/>
          <w:szCs w:val="26"/>
        </w:rPr>
        <w:t xml:space="preserve">Effects on consumer prices</w:t>
      </w:r>
    </w:p>
    <w:p>
      <w:pPr>
        <w:spacing w:after="160" w:line="276"/>
      </w:pPr>
      <w:r>
        <w:rPr>
          <w:rFonts w:ascii="Calibri" w:cs="Calibri" w:eastAsia="Calibri" w:hAnsi="Calibri"/>
          <w:sz w:val="23"/>
          <w:szCs w:val="23"/>
        </w:rPr>
        <w:t xml:space="preserve">[22:08] We use a dynamic model to look at the impact of a carbon price on consumer goods prices over time. We also use it to look at the impact on returns to capital, labor, and transfers, and then map those into impacts on household groups. The first part, the impact on consumer prices, maps directly into the affordability conversation.</w:t>
      </w:r>
    </w:p>
    <w:p>
      <w:pPr>
        <w:spacing w:after="160" w:line="276"/>
      </w:pPr>
      <w:r>
        <w:rPr>
          <w:rFonts w:ascii="Calibri" w:cs="Calibri" w:eastAsia="Calibri" w:hAnsi="Calibri"/>
          <w:sz w:val="23"/>
          <w:szCs w:val="23"/>
        </w:rPr>
        <w:t xml:space="preserve">The policy we modeled started in 2018. It had a carbon price of $40 in 2020, about $54 in 2035, and somewhere around $70 in 2050, all in 2013 dollars. Motor vehicle fuels and fuel oil see pretty large price increases relative to other goods. So do electricity and natural gas. Those goods drive our use-side effects.</w:t>
      </w:r>
    </w:p>
    <w:p>
      <w:pPr>
        <w:spacing w:after="160" w:line="276"/>
      </w:pPr>
      <w:r>
        <w:rPr>
          <w:rFonts w:ascii="Calibri" w:cs="Calibri" w:eastAsia="Calibri" w:hAnsi="Calibri"/>
          <w:sz w:val="23"/>
          <w:szCs w:val="23"/>
        </w:rPr>
        <w:t xml:space="preserve">Energy prices rise quite a bit relative to baseline. The overall price level, the CPI, rises by only 1% in 2035. That is 1% relative to baseline, not a one-percentage-point increase in inflation. If we annualize that increase between 2020 and 2035, it is less than a 0.1 percentage point increase in the rate of inflation. If inflation was 2%, this carbon price would push it to less than 2.1%. So don't read these numbers as changes in the inflation rate. They are changes in price levels in certain years, though we could annualize them over time.</w:t>
      </w:r>
    </w:p>
    <w:p>
      <w:pPr>
        <w:spacing w:after="160" w:line="276"/>
      </w:pPr>
      <w:r>
        <w:rPr>
          <w:rFonts w:ascii="Calibri" w:cs="Calibri" w:eastAsia="Calibri" w:hAnsi="Calibri"/>
          <w:sz w:val="23"/>
          <w:szCs w:val="23"/>
        </w:rPr>
        <w:t xml:space="preserve">It's also important to note that the prices of many goods fall relative to the price of all goods. Any good whose price rises less than the average is becoming relatively cheaper. You can see that with healthcare, education, communication, and others. This is not a policy that universally increases all prices.</w:t>
      </w:r>
    </w:p>
    <w:p>
      <w:pPr>
        <w:pStyle w:val="Heading2"/>
        <w:spacing w:after="120" w:before="280"/>
      </w:pPr>
      <w:r>
        <w:rPr>
          <w:rFonts w:ascii="Calibri" w:cs="Calibri" w:eastAsia="Calibri" w:hAnsi="Calibri"/>
          <w:b/>
          <w:bCs/>
          <w:sz w:val="26"/>
          <w:szCs w:val="26"/>
        </w:rPr>
        <w:t xml:space="preserve">Use-side, source-side, and net results</w:t>
      </w:r>
    </w:p>
    <w:p>
      <w:pPr>
        <w:spacing w:after="160" w:line="276"/>
      </w:pPr>
      <w:r>
        <w:rPr>
          <w:rFonts w:ascii="Calibri" w:cs="Calibri" w:eastAsia="Calibri" w:hAnsi="Calibri"/>
          <w:sz w:val="23"/>
          <w:szCs w:val="23"/>
        </w:rPr>
        <w:t xml:space="preserve">[24:27] From our paper, we can look at use-side and source-side impacts by revenue recycling option. On the left is the use-side impact: the effect on household welfare as a fraction of baseline wealth. For every policy, the number is greatest for Q1 and smallest for Q5, no matter which revenue recycling option we choose. The recycling option scales the values up or down a little, but relatively, Q1 and Q2 are universally worse off than Q4 and Q5. The use-side impacts are regressive across all recycling options. That goes back to the Grainger and Kolstad paper in 2010, one of the first to look at this.</w:t>
      </w:r>
    </w:p>
    <w:p>
      <w:pPr>
        <w:spacing w:after="160" w:line="276"/>
      </w:pPr>
      <w:r>
        <w:rPr>
          <w:rFonts w:ascii="Calibri" w:cs="Calibri" w:eastAsia="Calibri" w:hAnsi="Calibri"/>
          <w:sz w:val="23"/>
          <w:szCs w:val="23"/>
        </w:rPr>
        <w:t xml:space="preserve">On the right, the source-side impacts are progressive across all recycling options. They are strongest with lump-sum recycling. We see large positive source-side impacts for most recycling options, but the difference between Q1 and Q5 is greatest with lump-sum recycling.</w:t>
      </w:r>
    </w:p>
    <w:p>
      <w:pPr>
        <w:spacing w:after="160" w:line="276"/>
      </w:pPr>
      <w:r>
        <w:rPr>
          <w:rFonts w:ascii="Calibri" w:cs="Calibri" w:eastAsia="Calibri" w:hAnsi="Calibri"/>
          <w:sz w:val="23"/>
          <w:szCs w:val="23"/>
        </w:rPr>
        <w:t xml:space="preserve">[26:02] When we add the two together and look at total, or net, impacts across household groups, carbon pricing is weakly progressive across all recycling options. The average household in Q1 and Q2 is better off than it would be otherwise under lump-sum recycling. Q1 would also be better off under recycling methods such as reducing payroll taxes or individual income taxes. Q3 is slightly worse off under all policies. Overall, carbon pricing is weakly progressive across income groups.</w:t>
      </w:r>
    </w:p>
    <w:p>
      <w:pPr>
        <w:spacing w:after="160" w:line="276"/>
      </w:pPr>
      <w:r>
        <w:rPr>
          <w:rFonts w:ascii="Calibri" w:cs="Calibri" w:eastAsia="Calibri" w:hAnsi="Calibri"/>
          <w:sz w:val="23"/>
          <w:szCs w:val="23"/>
        </w:rPr>
        <w:t xml:space="preserve">The reason is not obvious. Transfer income is indexed to inflation, and transfer income tends to go more to lower-income households than to higher-income households.</w:t>
      </w:r>
    </w:p>
    <w:p>
      <w:pPr>
        <w:pStyle w:val="Heading2"/>
        <w:spacing w:after="120" w:before="280"/>
      </w:pPr>
      <w:r>
        <w:rPr>
          <w:rFonts w:ascii="Calibri" w:cs="Calibri" w:eastAsia="Calibri" w:hAnsi="Calibri"/>
          <w:b/>
          <w:bCs/>
          <w:sz w:val="26"/>
          <w:szCs w:val="26"/>
        </w:rPr>
        <w:t xml:space="preserve">Why transfer indexing matters</w:t>
      </w:r>
    </w:p>
    <w:p>
      <w:pPr>
        <w:spacing w:after="160" w:line="276"/>
      </w:pPr>
      <w:r>
        <w:rPr>
          <w:rFonts w:ascii="Calibri" w:cs="Calibri" w:eastAsia="Calibri" w:hAnsi="Calibri"/>
          <w:sz w:val="23"/>
          <w:szCs w:val="23"/>
        </w:rPr>
        <w:t xml:space="preserve">[26:54] On the left of this slide are the benchmark results, the same as the last slide. We changed the colors in the paper, and I don't know why no one called us out for it. I apologize for the color change, but I promise the left side is the exact same graph.</w:t>
      </w:r>
    </w:p>
    <w:p>
      <w:pPr>
        <w:spacing w:after="160" w:line="276"/>
      </w:pPr>
      <w:r>
        <w:rPr>
          <w:rFonts w:ascii="Calibri" w:cs="Calibri" w:eastAsia="Calibri" w:hAnsi="Calibri"/>
          <w:sz w:val="23"/>
          <w:szCs w:val="23"/>
        </w:rPr>
        <w:t xml:space="preserve">On the right is what happens if transfer income is not indexed to CPI, meaning no cost-of-living adjustments for transfer payments. The only scenario in which any household group is better off under a carbon price is Quintile 1 with lump-sum payments. They are much worse off under the other types of recycling.</w:t>
      </w:r>
    </w:p>
    <w:p>
      <w:pPr>
        <w:spacing w:after="160" w:line="276"/>
      </w:pPr>
      <w:r>
        <w:rPr>
          <w:rFonts w:ascii="Calibri" w:cs="Calibri" w:eastAsia="Calibri" w:hAnsi="Calibri"/>
          <w:sz w:val="23"/>
          <w:szCs w:val="23"/>
        </w:rPr>
        <w:t xml:space="preserve">The entire difference between these two graphs is that households receive higher nominal transfer income when a carbon price is in place. A carbon price increases the CPI, so the cost-of-living adjustments rise too. Those offset some, but not all, of the increased costs these households face.</w:t>
      </w:r>
    </w:p>
    <w:p>
      <w:pPr>
        <w:spacing w:after="160" w:line="276"/>
      </w:pPr>
      <w:r>
        <w:rPr>
          <w:rFonts w:ascii="Calibri" w:cs="Calibri" w:eastAsia="Calibri" w:hAnsi="Calibri"/>
          <w:sz w:val="23"/>
          <w:szCs w:val="23"/>
        </w:rPr>
        <w:t xml:space="preserve">[28:22] This matters when you look at different studies that say carbon prices are regressive, or have absolute positive or negative impacts. Ask what each study assumes about fixed nominal income and about transfer income. How do they model it? Our results are driven primarily by our assumption that transfer income has cost-of-living adjustments.</w:t>
      </w:r>
    </w:p>
    <w:p>
      <w:pPr>
        <w:pStyle w:val="Heading2"/>
        <w:spacing w:after="120" w:before="280"/>
      </w:pPr>
      <w:r>
        <w:rPr>
          <w:rFonts w:ascii="Calibri" w:cs="Calibri" w:eastAsia="Calibri" w:hAnsi="Calibri"/>
          <w:b/>
          <w:bCs/>
          <w:sz w:val="26"/>
          <w:szCs w:val="26"/>
        </w:rPr>
        <w:t xml:space="preserve">Key results and caveats</w:t>
      </w:r>
    </w:p>
    <w:p>
      <w:pPr>
        <w:spacing w:after="160" w:line="276"/>
      </w:pPr>
      <w:r>
        <w:rPr>
          <w:rFonts w:ascii="Calibri" w:cs="Calibri" w:eastAsia="Calibri" w:hAnsi="Calibri"/>
          <w:sz w:val="23"/>
          <w:szCs w:val="23"/>
        </w:rPr>
        <w:t xml:space="preserve">[28:55] Our key results are these. Use-side impacts are consistently regressive. Source-side impacts are usually progressive. When transfer income is indexed to inflation, source-side impacts tend to partially or fully offset the use-side impacts across most of our revenue recycling scenarios. As always, the absolute effects depend on how the revenues are used.</w:t>
      </w:r>
    </w:p>
    <w:p>
      <w:pPr>
        <w:spacing w:after="160" w:line="276"/>
      </w:pPr>
      <w:r>
        <w:rPr>
          <w:rFonts w:ascii="Calibri" w:cs="Calibri" w:eastAsia="Calibri" w:hAnsi="Calibri"/>
          <w:sz w:val="23"/>
          <w:szCs w:val="23"/>
        </w:rPr>
        <w:t xml:space="preserve">Now the caveats. All good academic papers have them. We looked only at impacts across income groups. You could also consider effects across states, across urban and rural groups, or in historically overburdened communities versus the average. As I mentioned, we ignored within-quintile and within-decile heterogeneity because of data limitations. And everything I've discussed is the distribution of costs. We found that costs were negative for some groups, meaning those groups were better off. But we didn't look at the distribution of co-benefits.</w:t>
      </w:r>
    </w:p>
    <w:p>
      <w:pPr>
        <w:spacing w:after="160" w:line="276"/>
      </w:pPr>
      <w:r>
        <w:rPr>
          <w:rFonts w:ascii="Calibri" w:cs="Calibri" w:eastAsia="Calibri" w:hAnsi="Calibri"/>
          <w:sz w:val="23"/>
          <w:szCs w:val="23"/>
        </w:rPr>
        <w:t xml:space="preserve">Looking at co-benefits requires defining outcomes regionally. You'd need to ask how changes in emissions from certain smokestacks affect air quality in certain communities. That's very hard to do, so we didn't try it in that paper. But people have done it, and should do more of it.</w:t>
      </w:r>
    </w:p>
    <w:p>
      <w:pPr>
        <w:spacing w:after="160" w:line="276"/>
      </w:pPr>
      <w:r>
        <w:rPr>
          <w:rFonts w:ascii="Calibri" w:cs="Calibri" w:eastAsia="Calibri" w:hAnsi="Calibri"/>
          <w:sz w:val="23"/>
          <w:szCs w:val="23"/>
        </w:rPr>
        <w:t xml:space="preserve">[30:39] That's what I have on distributional impacts. Use-side impacts are regressive. Source-side impacts can offset them, depending on our assumptions and on how revenues are used. Overall, I think the evidence shows it is not fair to say carbon pricing is necessarily regressive. That argument is used often against carbon pricing, and I don't think it stands up to this evidence.</w:t>
      </w:r>
    </w:p>
    <w:p>
      <w:pPr>
        <w:pStyle w:val="Heading1"/>
        <w:spacing w:after="160" w:before="360"/>
      </w:pPr>
      <w:r>
        <w:rPr>
          <w:rFonts w:ascii="Calibri" w:cs="Calibri" w:eastAsia="Calibri" w:hAnsi="Calibri"/>
          <w:b/>
          <w:bCs/>
          <w:sz w:val="30"/>
          <w:szCs w:val="30"/>
        </w:rPr>
        <w:t xml:space="preserve">Options to Improve Affordability</w:t>
      </w:r>
    </w:p>
    <w:p>
      <w:pPr>
        <w:spacing w:after="160" w:line="276"/>
      </w:pPr>
      <w:r>
        <w:rPr>
          <w:rFonts w:ascii="Calibri" w:cs="Calibri" w:eastAsia="Calibri" w:hAnsi="Calibri"/>
          <w:b/>
          <w:bCs/>
          <w:sz w:val="23"/>
          <w:szCs w:val="23"/>
        </w:rPr>
        <w:t xml:space="preserve">Marc Hafstead:</w:t>
      </w:r>
      <w:r>
        <w:rPr>
          <w:rFonts w:ascii="Calibri" w:cs="Calibri" w:eastAsia="Calibri" w:hAnsi="Calibri"/>
          <w:sz w:val="23"/>
          <w:szCs w:val="23"/>
        </w:rPr>
        <w:t xml:space="preserve"> [31:12] In my remaining time, I'll talk about carbon pricing affordability and how we can improve it.</w:t>
      </w:r>
    </w:p>
    <w:p>
      <w:pPr>
        <w:spacing w:after="160" w:line="276"/>
      </w:pPr>
      <w:r>
        <w:rPr>
          <w:rFonts w:ascii="Calibri" w:cs="Calibri" w:eastAsia="Calibri" w:hAnsi="Calibri"/>
          <w:sz w:val="23"/>
          <w:szCs w:val="23"/>
        </w:rPr>
        <w:t xml:space="preserve">First, I'll borrow a point from my colleague Dallas Burtraw. Conditional on taking our climate commitments seriously, a key argument for carbon pricing is affordability. Carbon pricing is the affordable climate policy. Every ton we reduce with carbon pricing is a ton we don't have to reduce with more expensive regulatory measures. This is the economic argument that cost-effectiveness still matters. Just because carbon pricing raises the price of some goods, and they happen to be goods people are particularly aware of, does not mean carbon pricing is unaffordable compared to other climate policies.</w:t>
      </w:r>
    </w:p>
    <w:p>
      <w:pPr>
        <w:pStyle w:val="Heading2"/>
        <w:spacing w:after="120" w:before="280"/>
      </w:pPr>
      <w:r>
        <w:rPr>
          <w:rFonts w:ascii="Calibri" w:cs="Calibri" w:eastAsia="Calibri" w:hAnsi="Calibri"/>
          <w:b/>
          <w:bCs/>
          <w:sz w:val="26"/>
          <w:szCs w:val="26"/>
        </w:rPr>
        <w:t xml:space="preserve">Why affordability dominates the debate</w:t>
      </w:r>
    </w:p>
    <w:p>
      <w:pPr>
        <w:spacing w:after="160" w:line="276"/>
      </w:pPr>
      <w:r>
        <w:rPr>
          <w:rFonts w:ascii="Calibri" w:cs="Calibri" w:eastAsia="Calibri" w:hAnsi="Calibri"/>
          <w:sz w:val="23"/>
          <w:szCs w:val="23"/>
        </w:rPr>
        <w:t xml:space="preserve">[32:13] Why are we even talking about affordability? People simply don't like to see prices increase, no matter the reason. We've seen this across the globe: the yellow vest movement in France, and numerous South American countries when they tried to eliminate fossil fuel subsidies or raise fuel taxes. Even unrelated to climate policy, we've seen massive demonstrations over the last 20 years against any policy that appears to raise fuel prices.</w:t>
      </w:r>
    </w:p>
    <w:p>
      <w:pPr>
        <w:spacing w:after="160" w:line="276"/>
      </w:pPr>
      <w:r>
        <w:rPr>
          <w:rFonts w:ascii="Calibri" w:cs="Calibri" w:eastAsia="Calibri" w:hAnsi="Calibri"/>
          <w:sz w:val="23"/>
          <w:szCs w:val="23"/>
        </w:rPr>
        <w:t xml:space="preserve">Some groups feel particularly aggrieved. We've seen demonstrations by farmers in Europe over the last couple of summers, upset about the effect of climate policies on diesel. With the wars in Iran and Ukraine, I would argue climate policy is second or even third in importance to those geopolitical events. But these groups still make themselves heard, because they feel aggrieved by the price changes they see through these policies.</w:t>
      </w:r>
    </w:p>
    <w:p>
      <w:pPr>
        <w:spacing w:after="160" w:line="276"/>
      </w:pPr>
      <w:r>
        <w:rPr>
          <w:rFonts w:ascii="Calibri" w:cs="Calibri" w:eastAsia="Calibri" w:hAnsi="Calibri"/>
          <w:sz w:val="23"/>
          <w:szCs w:val="23"/>
        </w:rPr>
        <w:t xml:space="preserve">[33:33] We've talked about how dividends and other forms of revenue recycling may make some or most households better off than they would have been otherwise. But I would argue the salience of the dividends does not equal the salience of price increases. In economics, we call this loss aversion. People are averse to price increases, and they are less aware of how those increases are being compensated.</w:t>
      </w:r>
    </w:p>
    <w:p>
      <w:pPr>
        <w:spacing w:after="160" w:line="276"/>
      </w:pPr>
      <w:r>
        <w:rPr>
          <w:rFonts w:ascii="Calibri" w:cs="Calibri" w:eastAsia="Calibri" w:hAnsi="Calibri"/>
          <w:sz w:val="23"/>
          <w:szCs w:val="23"/>
        </w:rPr>
        <w:t xml:space="preserve">Canada is an example. It had a tax and dividend that offset much of the additional energy spending for most Canadians. But the dividends were one-time payments per year, and they were often confusing line items on bank statements.</w:t>
      </w:r>
    </w:p>
    <w:p>
      <w:pPr>
        <w:spacing w:after="160" w:line="276"/>
      </w:pPr>
      <w:r>
        <w:rPr>
          <w:rFonts w:ascii="Calibri" w:cs="Calibri" w:eastAsia="Calibri" w:hAnsi="Calibri"/>
          <w:sz w:val="23"/>
          <w:szCs w:val="23"/>
        </w:rPr>
        <w:t xml:space="preserve">I live in New Mexico, and I moved here about five years ago. In my second year, the legislature voted to send rebates to all households because we had a budget surplus. I wasn't following the news. All of a sudden I saw a deposit from the State of New Mexico on my bank statement. I didn't know if I had messed up my taxes and was getting a higher refund, or if it was something else. Even educated people like me can be unaware of why these deposits occur. So people weren't necessarily aware that Canada's payments were offsetting the higher energy prices from the consumer-facing carbon price.</w:t>
      </w:r>
    </w:p>
    <w:p>
      <w:pPr>
        <w:spacing w:after="160" w:line="276"/>
      </w:pPr>
      <w:r>
        <w:rPr>
          <w:rFonts w:ascii="Calibri" w:cs="Calibri" w:eastAsia="Calibri" w:hAnsi="Calibri"/>
          <w:sz w:val="23"/>
          <w:szCs w:val="23"/>
        </w:rPr>
        <w:t xml:space="preserve">In California, utilities are required to give rebates to households every six months. I think inattention is high. I don't think the link to the cap-and-trade program is evident to many households, especially because the rebate comes only twice a year. People aren't tying it to the fact that it helps offset a slightly higher electricity price.</w:t>
      </w:r>
    </w:p>
    <w:p>
      <w:pPr>
        <w:spacing w:after="160" w:line="276"/>
      </w:pPr>
      <w:r>
        <w:rPr>
          <w:rFonts w:ascii="Calibri" w:cs="Calibri" w:eastAsia="Calibri" w:hAnsi="Calibri"/>
          <w:sz w:val="23"/>
          <w:szCs w:val="23"/>
        </w:rPr>
        <w:t xml:space="preserve">[35:53] These are rebates, which should be more salient than other forms of revenue recycling. Using revenues to reduce other taxes may be even less salient. So salience is really important. Price increases are salient. Giving money back in various forms to offset them is less salient. That makes people attack carbon pricing for lack of affordability.</w:t>
      </w:r>
    </w:p>
    <w:p>
      <w:pPr>
        <w:pStyle w:val="Heading2"/>
        <w:spacing w:after="120" w:before="280"/>
      </w:pPr>
      <w:r>
        <w:rPr>
          <w:rFonts w:ascii="Calibri" w:cs="Calibri" w:eastAsia="Calibri" w:hAnsi="Calibri"/>
          <w:b/>
          <w:bCs/>
          <w:sz w:val="26"/>
          <w:szCs w:val="26"/>
        </w:rPr>
        <w:t xml:space="preserve">Getting creative</w:t>
      </w:r>
    </w:p>
    <w:p>
      <w:pPr>
        <w:spacing w:after="160" w:line="276"/>
      </w:pPr>
      <w:r>
        <w:rPr>
          <w:rFonts w:ascii="Calibri" w:cs="Calibri" w:eastAsia="Calibri" w:hAnsi="Calibri"/>
          <w:sz w:val="23"/>
          <w:szCs w:val="23"/>
        </w:rPr>
        <w:t xml:space="preserve">[36:28] How can we get creative to address affordability?</w:t>
      </w:r>
    </w:p>
    <w:p>
      <w:pPr>
        <w:spacing w:after="160" w:line="276"/>
      </w:pPr>
      <w:r>
        <w:rPr>
          <w:rFonts w:ascii="Calibri" w:cs="Calibri" w:eastAsia="Calibri" w:hAnsi="Calibri"/>
          <w:sz w:val="23"/>
          <w:szCs w:val="23"/>
        </w:rPr>
        <w:t xml:space="preserve">One option is to exempt politically sensitive fuels or sectors. A year ago, Canada repealed its consumer-facing carbon price but not its industrial carbon pricing framework. Major industrial emitters in Canada still pay for their emissions. But the consumer-facing price that affected gasoline was repealed. Exempting politically sensitive fuels is one way to address affordability. We just don't touch that sector, at least for now.</w:t>
      </w:r>
    </w:p>
    <w:p>
      <w:pPr>
        <w:spacing w:after="160" w:line="276"/>
      </w:pPr>
      <w:r>
        <w:rPr>
          <w:rFonts w:ascii="Calibri" w:cs="Calibri" w:eastAsia="Calibri" w:hAnsi="Calibri"/>
          <w:sz w:val="23"/>
          <w:szCs w:val="23"/>
        </w:rPr>
        <w:t xml:space="preserve">Another option is to offset consumer-facing price increases. The Market Choice Act was introduced by former Representative Carlos Curbelo and has been reintroduced several times by current Representative Fitzpatrick of Pennsylvania. Both are Republicans. Their bill would repeal the federal gasoline tax. Because the initial carbon price wasn't very aggressive, repealing the gas tax largely offset the impact on gasoline prices, especially in the early years. That let a representative say, "Yes, I'm pursuing climate policy, and it's carbon pricing, but I'm doing it in a way that minimizes the impact on your gasoline bills."</w:t>
      </w:r>
    </w:p>
    <w:p>
      <w:pPr>
        <w:pStyle w:val="Heading2"/>
        <w:spacing w:after="120" w:before="280"/>
      </w:pPr>
      <w:r>
        <w:rPr>
          <w:rFonts w:ascii="Calibri" w:cs="Calibri" w:eastAsia="Calibri" w:hAnsi="Calibri"/>
          <w:b/>
          <w:bCs/>
          <w:sz w:val="26"/>
          <w:szCs w:val="26"/>
        </w:rPr>
        <w:t xml:space="preserve">The Virginia RGGI example</w:t>
      </w:r>
    </w:p>
    <w:p>
      <w:pPr>
        <w:spacing w:after="160" w:line="276"/>
      </w:pPr>
      <w:r>
        <w:rPr>
          <w:rFonts w:ascii="Calibri" w:cs="Calibri" w:eastAsia="Calibri" w:hAnsi="Calibri"/>
          <w:sz w:val="23"/>
          <w:szCs w:val="23"/>
        </w:rPr>
        <w:t xml:space="preserve">[38:15] Virginia, just this year, is using revenue from rejoining RGGI to directly reduce residential electricity rates. They are using revenues collected from all the groups that face higher electricity costs, meaning residential, commercial, and industrial users. The revenue goes to directly reduce residential rates. So the governor can look people in the eye and say, "I am not going to increase the price of your electricity."</w:t>
      </w:r>
    </w:p>
    <w:p>
      <w:pPr>
        <w:spacing w:after="160" w:line="276"/>
      </w:pPr>
      <w:r>
        <w:rPr>
          <w:rFonts w:ascii="Calibri" w:cs="Calibri" w:eastAsia="Calibri" w:hAnsi="Calibri"/>
          <w:sz w:val="23"/>
          <w:szCs w:val="23"/>
        </w:rPr>
        <w:t xml:space="preserve">A couple of my colleagues wrote about this in an RFF </w:t>
      </w:r>
      <w:r>
        <w:rPr>
          <w:rFonts w:ascii="Calibri" w:cs="Calibri" w:eastAsia="Calibri" w:hAnsi="Calibri"/>
          <w:i/>
          <w:iCs/>
          <w:sz w:val="23"/>
          <w:szCs w:val="23"/>
        </w:rPr>
        <w:t xml:space="preserve">Resources</w:t>
      </w:r>
      <w:r>
        <w:rPr>
          <w:rFonts w:ascii="Calibri" w:cs="Calibri" w:eastAsia="Calibri" w:hAnsi="Calibri"/>
          <w:sz w:val="23"/>
          <w:szCs w:val="23"/>
        </w:rPr>
        <w:t xml:space="preserve"> article. The new analysis shows that Virginia policymakers can use proceeds from the RGGI allowance market to reduce electricity prices for residential customers. Lawmakers can craft a policy that reduces carbon dioxide emissions and local air pollutants at the same time. It can protect investments in adaptation, such as flood preparedness and energy efficiency for low-income households. And it can reduce electricity bills for every Virginia household by about 8% starting next year, or about $12 per month for the typical household.</w:t>
      </w:r>
    </w:p>
    <w:p>
      <w:pPr>
        <w:spacing w:after="160" w:line="276"/>
      </w:pPr>
      <w:r>
        <w:rPr>
          <w:rFonts w:ascii="Calibri" w:cs="Calibri" w:eastAsia="Calibri" w:hAnsi="Calibri"/>
          <w:sz w:val="23"/>
          <w:szCs w:val="23"/>
        </w:rPr>
        <w:t xml:space="preserve">[39:42] How does it work? Generators in Virginia pay for their emissions no matter what, and that generates revenue for the state. Those costs are passed on to electricity consumers. Those consumers include not just households but commercial and industrial users, especially data centers. Virginia is the home of data centers in the United States.</w:t>
      </w:r>
    </w:p>
    <w:p>
      <w:pPr>
        <w:spacing w:after="160" w:line="276"/>
      </w:pPr>
      <w:r>
        <w:rPr>
          <w:rFonts w:ascii="Calibri" w:cs="Calibri" w:eastAsia="Calibri" w:hAnsi="Calibri"/>
          <w:sz w:val="23"/>
          <w:szCs w:val="23"/>
        </w:rPr>
        <w:t xml:space="preserve">If the RGGI price were $35 per short ton, all else equal, that would increase electricity prices by about 6.6%. The key is that, after other dedicated revenue uses, the collected revenue is rebated only to residential consumers. Those revenues can reduce electricity costs by 14.2% at the same carbon price. On net, residential consumers see their electricity prices drop by about 7.6%. My colleagues also showed that as the carbon price increases, the drop in electricity prices could go even further.</w:t>
      </w:r>
    </w:p>
    <w:p>
      <w:pPr>
        <w:pStyle w:val="Heading2"/>
        <w:spacing w:after="120" w:before="280"/>
      </w:pPr>
      <w:r>
        <w:rPr>
          <w:rFonts w:ascii="Calibri" w:cs="Calibri" w:eastAsia="Calibri" w:hAnsi="Calibri"/>
          <w:b/>
          <w:bCs/>
          <w:sz w:val="26"/>
          <w:szCs w:val="26"/>
        </w:rPr>
        <w:t xml:space="preserve">Applying this to federal policy</w:t>
      </w:r>
    </w:p>
    <w:p>
      <w:pPr>
        <w:spacing w:after="160" w:line="276"/>
      </w:pPr>
      <w:r>
        <w:rPr>
          <w:rFonts w:ascii="Calibri" w:cs="Calibri" w:eastAsia="Calibri" w:hAnsi="Calibri"/>
          <w:sz w:val="23"/>
          <w:szCs w:val="23"/>
        </w:rPr>
        <w:t xml:space="preserve">[41:02] How would we apply this to federal policy? Step one is to place a carbon fee on a fuel that applies to a wide range of users. Step two is to use the revenues to subsidize a subset of consumer-facing fuel users. That's basically what Virginia is doing in RGGI right now.</w:t>
      </w:r>
    </w:p>
    <w:p>
      <w:pPr>
        <w:spacing w:after="160" w:line="276"/>
      </w:pPr>
      <w:r>
        <w:rPr>
          <w:rFonts w:ascii="Calibri" w:cs="Calibri" w:eastAsia="Calibri" w:hAnsi="Calibri"/>
          <w:sz w:val="23"/>
          <w:szCs w:val="23"/>
        </w:rPr>
        <w:t xml:space="preserve">You might ask whether this reduces the price incentive to cut emissions. Yes, but I'll offer a few responses. First, consumers tend to be less price-responsive than other users. If households aren't going to change their behavior when electricity prices rise, but the increase makes them angry, then lowering their electricity price won't change their behavior either, but it will make them happy. Then we have political buy-in for our policy.</w:t>
      </w:r>
    </w:p>
    <w:p>
      <w:pPr>
        <w:spacing w:after="160" w:line="276"/>
      </w:pPr>
      <w:r>
        <w:rPr>
          <w:rFonts w:ascii="Calibri" w:cs="Calibri" w:eastAsia="Calibri" w:hAnsi="Calibri"/>
          <w:sz w:val="23"/>
          <w:szCs w:val="23"/>
        </w:rPr>
        <w:t xml:space="preserve">For gasoline, I'm not sure that argument works totally, though perhaps we can make it. For electricity, we actually want people to use more. A policy that raises electricity prices disincentivizes electrification. It discourages people from buying technologies such as electric vehicles that increase their electricity use. By subsidizing electricity for households, we can help speed up residential electrification. Those are a couple of arguments for how this could work beyond the special case of Virginia and RGGI.</w:t>
      </w:r>
    </w:p>
    <w:p>
      <w:pPr>
        <w:pStyle w:val="Heading1"/>
        <w:spacing w:after="160" w:before="360"/>
      </w:pPr>
      <w:r>
        <w:rPr>
          <w:rFonts w:ascii="Calibri" w:cs="Calibri" w:eastAsia="Calibri" w:hAnsi="Calibri"/>
          <w:b/>
          <w:bCs/>
          <w:sz w:val="30"/>
          <w:szCs w:val="30"/>
        </w:rPr>
        <w:t xml:space="preserve">RFF Data Tools</w:t>
      </w:r>
    </w:p>
    <w:p>
      <w:pPr>
        <w:spacing w:after="160" w:line="276"/>
      </w:pPr>
      <w:r>
        <w:rPr>
          <w:rFonts w:ascii="Calibri" w:cs="Calibri" w:eastAsia="Calibri" w:hAnsi="Calibri"/>
          <w:b/>
          <w:bCs/>
          <w:sz w:val="23"/>
          <w:szCs w:val="23"/>
        </w:rPr>
        <w:t xml:space="preserve">Marc Hafstead:</w:t>
      </w:r>
      <w:r>
        <w:rPr>
          <w:rFonts w:ascii="Calibri" w:cs="Calibri" w:eastAsia="Calibri" w:hAnsi="Calibri"/>
          <w:sz w:val="23"/>
          <w:szCs w:val="23"/>
        </w:rPr>
        <w:t xml:space="preserve"> [42:53] I'll finish up so we have time for questions. I want you to check out a couple of RFF data tools. These are screenshots, but they'll give you an idea of what the tools can show. You can go there and check them out on your own time.</w:t>
      </w:r>
    </w:p>
    <w:p>
      <w:pPr>
        <w:spacing w:after="160" w:line="276"/>
      </w:pPr>
      <w:r>
        <w:rPr>
          <w:rFonts w:ascii="Calibri" w:cs="Calibri" w:eastAsia="Calibri" w:hAnsi="Calibri"/>
          <w:sz w:val="23"/>
          <w:szCs w:val="23"/>
        </w:rPr>
        <w:t xml:space="preserve">The first came out this summer. It is the Virginia RGGI and Affordability Data Tool. It lets you change the RGGI price and other assumptions, such as load growth and how much growth is met by gas generation. You enter your assumptions on the left, and the outputs appear in the middle and on the right. The coral line shows that the overall carbon cost raises residential electricity prices by 6.6%. Because the rebate is used directly to reduce electricity prices, the net change is a 7.6% reduction.</w:t>
      </w:r>
    </w:p>
    <w:p>
      <w:pPr>
        <w:spacing w:after="160" w:line="276"/>
      </w:pPr>
      <w:r>
        <w:rPr>
          <w:rFonts w:ascii="Calibri" w:cs="Calibri" w:eastAsia="Calibri" w:hAnsi="Calibri"/>
          <w:sz w:val="23"/>
          <w:szCs w:val="23"/>
        </w:rPr>
        <w:t xml:space="preserve">The reduction keeps growing as the allowance price rises. It isn't the case that households eventually become worse off as the allowance price increases, because the revenue is still being used to subsidize their electricity. On an annual basis, that's about $150 per household.</w:t>
      </w:r>
    </w:p>
    <w:p>
      <w:pPr>
        <w:spacing w:after="160" w:line="276"/>
      </w:pPr>
      <w:r>
        <w:rPr>
          <w:rFonts w:ascii="Calibri" w:cs="Calibri" w:eastAsia="Calibri" w:hAnsi="Calibri"/>
          <w:sz w:val="23"/>
          <w:szCs w:val="23"/>
        </w:rPr>
        <w:t xml:space="preserve">[44:25] We also have the Carbon Pricing Calculator I mentioned at the beginning. Two features are particularly pertinent tonight. It shows consumer price impacts by fuel in 2030 under different policies. It also shows national and state-level distributional effects by income quintile and by an urban-rural split, plus average impacts by state.</w:t>
      </w:r>
    </w:p>
    <w:p>
      <w:pPr>
        <w:spacing w:after="160" w:line="276"/>
      </w:pPr>
      <w:r>
        <w:rPr>
          <w:rFonts w:ascii="Calibri" w:cs="Calibri" w:eastAsia="Calibri" w:hAnsi="Calibri"/>
          <w:sz w:val="23"/>
          <w:szCs w:val="23"/>
        </w:rPr>
        <w:t xml:space="preserve">Here is one example of consumer prices. It shows the percent change in 2030 in the price of these fuels relative to business as usual. I picked three policies. One is the Energy Innovation and Carbon Dividend Act, which uses revenues to fund dividends. One is the Stemming Warming and Augmenting Pay Act by Representative Rooney, which was meant to reduce payroll taxes. The third is the Market Choice Act, which, as I described, uses some revenue to rescind the federal gasoline tax while making sure the infrastructure trust fund is fully paid. I'm not using that name correctly, but that is the idea.</w:t>
      </w:r>
    </w:p>
    <w:p>
      <w:pPr>
        <w:spacing w:after="160" w:line="276"/>
      </w:pPr>
      <w:r>
        <w:rPr>
          <w:rFonts w:ascii="Calibri" w:cs="Calibri" w:eastAsia="Calibri" w:hAnsi="Calibri"/>
          <w:sz w:val="23"/>
          <w:szCs w:val="23"/>
        </w:rPr>
        <w:t xml:space="preserve">This is not a fair one-to-one comparison, because these policies have different carbon prices in 2030. But note that the Rooney and Fitzpatrick bills are pretty close in their impacts on electricity, natural gas, air transportation, and fuel oil. They differ significantly on motor fuels, because of the removal of the federal gasoline tax in the Market Choice Act. That is how Representatives Curbelo and Fitzpatrick designed the policy to minimize the effect on motor fuels while keeping the price incentive across the other fuels.</w:t>
      </w:r>
    </w:p>
    <w:p>
      <w:pPr>
        <w:spacing w:after="160" w:line="276"/>
      </w:pPr>
      <w:r>
        <w:rPr>
          <w:rFonts w:ascii="Calibri" w:cs="Calibri" w:eastAsia="Calibri" w:hAnsi="Calibri"/>
          <w:sz w:val="23"/>
          <w:szCs w:val="23"/>
        </w:rPr>
        <w:t xml:space="preserve">[46:50] You can also look at the national distribution of impacts. It looks very similar to what we saw in my paper. The first five columns show household income groups, and you can also see rural versus urban. One thing that stands out is that under the Market Choice Act, rural households are actually better off. Rural households drive more, so they really like it when gasoline prices don't rise as much.</w:t>
      </w:r>
    </w:p>
    <w:p>
      <w:pPr>
        <w:spacing w:after="160" w:line="276"/>
      </w:pPr>
      <w:r>
        <w:rPr>
          <w:rFonts w:ascii="Calibri" w:cs="Calibri" w:eastAsia="Calibri" w:hAnsi="Calibri"/>
          <w:sz w:val="23"/>
          <w:szCs w:val="23"/>
        </w:rPr>
        <w:t xml:space="preserve">You can also look at average impacts across states. This is the Market Choice Act. In many states the average household is better off, and in some it's worse off. I won't explain why any given state looks the way it does, but you can go to the Carbon Pricing Calculator and dive into the distributional impacts of carbon pricing policies previously proposed in the United States.</w:t>
      </w:r>
    </w:p>
    <w:p>
      <w:pPr>
        <w:spacing w:after="160" w:line="276"/>
      </w:pPr>
      <w:r>
        <w:rPr>
          <w:rFonts w:ascii="Calibri" w:cs="Calibri" w:eastAsia="Calibri" w:hAnsi="Calibri"/>
          <w:sz w:val="23"/>
          <w:szCs w:val="23"/>
        </w:rPr>
        <w:t xml:space="preserve">With that, I want to make sure we have time for questions. We do, which is great. Thank you, and I'm happy to answer some questions.</w:t>
      </w:r>
    </w:p>
    <w:p>
      <w:pPr>
        <w:pStyle w:val="Heading1"/>
        <w:spacing w:after="160" w:before="360"/>
      </w:pPr>
      <w:r>
        <w:rPr>
          <w:rFonts w:ascii="Calibri" w:cs="Calibri" w:eastAsia="Calibri" w:hAnsi="Calibri"/>
          <w:b/>
          <w:bCs/>
          <w:sz w:val="30"/>
          <w:szCs w:val="30"/>
        </w:rPr>
        <w:t xml:space="preserve">Q&amp;A Discussion</w:t>
      </w:r>
    </w:p>
    <w:p>
      <w:pPr>
        <w:spacing w:after="160" w:line="276"/>
      </w:pPr>
      <w:r>
        <w:rPr>
          <w:rFonts w:ascii="Calibri" w:cs="Calibri" w:eastAsia="Calibri" w:hAnsi="Calibri"/>
          <w:b/>
          <w:bCs/>
          <w:sz w:val="23"/>
          <w:szCs w:val="23"/>
        </w:rPr>
        <w:t xml:space="preserve">Mindy Ahler:</w:t>
      </w:r>
      <w:r>
        <w:rPr>
          <w:rFonts w:ascii="Calibri" w:cs="Calibri" w:eastAsia="Calibri" w:hAnsi="Calibri"/>
          <w:sz w:val="23"/>
          <w:szCs w:val="23"/>
        </w:rPr>
        <w:t xml:space="preserve"> [48:04] Thank you, Marc. You touched on this, but there's a question about the wars in Iran and Ukraine. They have disrupted global fossil fuel markets and caused big spikes in oil and gas prices. Can we learn anything about the potential effects of a carbon price from the fallout of these conflicts and rising fossil fuel prices?</w:t>
      </w:r>
    </w:p>
    <w:p>
      <w:pPr>
        <w:spacing w:after="160" w:line="276"/>
      </w:pPr>
      <w:r>
        <w:rPr>
          <w:rFonts w:ascii="Calibri" w:cs="Calibri" w:eastAsia="Calibri" w:hAnsi="Calibri"/>
          <w:b/>
          <w:bCs/>
          <w:sz w:val="23"/>
          <w:szCs w:val="23"/>
        </w:rPr>
        <w:t xml:space="preserve">Marc Hafstead:</w:t>
      </w:r>
      <w:r>
        <w:rPr>
          <w:rFonts w:ascii="Calibri" w:cs="Calibri" w:eastAsia="Calibri" w:hAnsi="Calibri"/>
          <w:sz w:val="23"/>
          <w:szCs w:val="23"/>
        </w:rPr>
        <w:t xml:space="preserve"> Yes, to a limited extent. The reason it's limited is that the wars have primarily affected the price of liquid fuels. So we can learn a lot from how consumers respond to changes in liquid fuel prices.</w:t>
      </w:r>
    </w:p>
    <w:p>
      <w:pPr>
        <w:spacing w:after="160" w:line="276"/>
      </w:pPr>
      <w:r>
        <w:rPr>
          <w:rFonts w:ascii="Calibri" w:cs="Calibri" w:eastAsia="Calibri" w:hAnsi="Calibri"/>
          <w:sz w:val="23"/>
          <w:szCs w:val="23"/>
        </w:rPr>
        <w:t xml:space="preserve">One anecdote I saw said that in the first six weeks after the war started, the price of gasoline rose something like 40%. That is a large increase, nowhere close to what we'd ever envision with a carbon price, especially immediately. Yet driving went down only between 8% and 10%. Vehicle miles traveled and fuel use fell much less than prices rose. What we learned is that liquid fuel use is not incredibly elastic or price-sensitive. It takes a while for people to change their behavior.</w:t>
      </w:r>
    </w:p>
    <w:p>
      <w:pPr>
        <w:spacing w:after="160" w:line="276"/>
      </w:pPr>
      <w:r>
        <w:rPr>
          <w:rFonts w:ascii="Calibri" w:cs="Calibri" w:eastAsia="Calibri" w:hAnsi="Calibri"/>
          <w:sz w:val="23"/>
          <w:szCs w:val="23"/>
        </w:rPr>
        <w:t xml:space="preserve">[49:37] There are plenty of behaviors people can change on the margin. I have two cars, and one is more fuel-efficient than the other. I drive the efficient car way more. I go to the grocery store in the city once every three days instead of once every two days. Those are ways I've adapted to the change in gasoline prices. What I haven't done is buy a new vehicle yet. EV sales have increased quite a bit relative to expectations this year, especially after the removal of the EV subsidies. But that's not a choice everyone can make.</w:t>
      </w:r>
    </w:p>
    <w:p>
      <w:pPr>
        <w:spacing w:after="160" w:line="276"/>
      </w:pPr>
      <w:r>
        <w:rPr>
          <w:rFonts w:ascii="Calibri" w:cs="Calibri" w:eastAsia="Calibri" w:hAnsi="Calibri"/>
          <w:sz w:val="23"/>
          <w:szCs w:val="23"/>
        </w:rPr>
        <w:t xml:space="preserve">Also, the wars haven't affected the price of coal, and they haven't affected the domestic price of natural gas. The price of natural gas this summer is slightly cheaper than last summer. We produce most of the natural gas we consume, and it mostly stays within our borders. We do have LNG, but that mostly helps producers, and we haven't seen a huge effect on domestic prices. So we won't see the behavioral responses we'd see from a carbon price that raised the price of coal and natural gas the same way it raises the price of gasoline and other liquid fuels.</w:t>
      </w:r>
    </w:p>
    <w:p>
      <w:pPr>
        <w:spacing w:after="160" w:line="276"/>
      </w:pPr>
      <w:r>
        <w:rPr>
          <w:rFonts w:ascii="Calibri" w:cs="Calibri" w:eastAsia="Calibri" w:hAnsi="Calibri"/>
          <w:b/>
          <w:bCs/>
          <w:sz w:val="23"/>
          <w:szCs w:val="23"/>
        </w:rPr>
        <w:t xml:space="preserve">Mindy Ahler:</w:t>
      </w:r>
      <w:r>
        <w:rPr>
          <w:rFonts w:ascii="Calibri" w:cs="Calibri" w:eastAsia="Calibri" w:hAnsi="Calibri"/>
          <w:sz w:val="23"/>
          <w:szCs w:val="23"/>
        </w:rPr>
        <w:t xml:space="preserve"> [51:19] Thank you for that. Another question: Do the distributional impact studies generally account for reduced pollution-related health costs or fuel conservation savings?</w:t>
      </w:r>
    </w:p>
    <w:p>
      <w:pPr>
        <w:spacing w:after="160" w:line="276"/>
      </w:pPr>
      <w:r>
        <w:rPr>
          <w:rFonts w:ascii="Calibri" w:cs="Calibri" w:eastAsia="Calibri" w:hAnsi="Calibri"/>
          <w:b/>
          <w:bCs/>
          <w:sz w:val="23"/>
          <w:szCs w:val="23"/>
        </w:rPr>
        <w:t xml:space="preserve">Marc Hafstead:</w:t>
      </w:r>
      <w:r>
        <w:rPr>
          <w:rFonts w:ascii="Calibri" w:cs="Calibri" w:eastAsia="Calibri" w:hAnsi="Calibri"/>
          <w:sz w:val="23"/>
          <w:szCs w:val="23"/>
        </w:rPr>
        <w:t xml:space="preserve"> They definitely account for fuel conservation savings. The early studies took a fixed basket of goods that different households purchased. They said, if you do a carbon price, electricity prices will change by this much and gasoline prices by that much. Then they translated that into a change in the cost of the basket for each household, and the basket was fixed.</w:t>
      </w:r>
    </w:p>
    <w:p>
      <w:pPr>
        <w:spacing w:after="160" w:line="276"/>
      </w:pPr>
      <w:r>
        <w:rPr>
          <w:rFonts w:ascii="Calibri" w:cs="Calibri" w:eastAsia="Calibri" w:hAnsi="Calibri"/>
          <w:sz w:val="23"/>
          <w:szCs w:val="23"/>
        </w:rPr>
        <w:t xml:space="preserve">In my analysis, we allow households to respond to price changes and use less gasoline. Our analysis, and most of the general equilibrium analysis done over the past 10 years, always accounts for that fuel savings.</w:t>
      </w:r>
    </w:p>
    <w:p>
      <w:pPr>
        <w:spacing w:after="160" w:line="276"/>
      </w:pPr>
      <w:r>
        <w:rPr>
          <w:rFonts w:ascii="Calibri" w:cs="Calibri" w:eastAsia="Calibri" w:hAnsi="Calibri"/>
          <w:sz w:val="23"/>
          <w:szCs w:val="23"/>
        </w:rPr>
        <w:t xml:space="preserve">What we are not doing is accounting for the benefits, as I mentioned. You can monetize some of them. Consider people in overburdened communities who are exposed to pollution from a coal plant. If that plant operates less or closes, they would be exposed to much less air pollution and would probably have much lower health costs. We don't capture those benefits.</w:t>
      </w:r>
    </w:p>
    <w:p>
      <w:pPr>
        <w:spacing w:after="160" w:line="276"/>
      </w:pPr>
      <w:r>
        <w:rPr>
          <w:rFonts w:ascii="Calibri" w:cs="Calibri" w:eastAsia="Calibri" w:hAnsi="Calibri"/>
          <w:b/>
          <w:bCs/>
          <w:sz w:val="23"/>
          <w:szCs w:val="23"/>
        </w:rPr>
        <w:t xml:space="preserve">Mindy Ahler:</w:t>
      </w:r>
      <w:r>
        <w:rPr>
          <w:rFonts w:ascii="Calibri" w:cs="Calibri" w:eastAsia="Calibri" w:hAnsi="Calibri"/>
          <w:sz w:val="23"/>
          <w:szCs w:val="23"/>
        </w:rPr>
        <w:t xml:space="preserve"> [53:02] I'm sure those would be particularly difficult to measure at this point.</w:t>
      </w:r>
    </w:p>
    <w:p>
      <w:pPr>
        <w:spacing w:after="160" w:line="276"/>
      </w:pPr>
      <w:r>
        <w:rPr>
          <w:rFonts w:ascii="Calibri" w:cs="Calibri" w:eastAsia="Calibri" w:hAnsi="Calibri"/>
          <w:b/>
          <w:bCs/>
          <w:sz w:val="23"/>
          <w:szCs w:val="23"/>
        </w:rPr>
        <w:t xml:space="preserve">Marc Hafstead:</w:t>
      </w:r>
      <w:r>
        <w:rPr>
          <w:rFonts w:ascii="Calibri" w:cs="Calibri" w:eastAsia="Calibri" w:hAnsi="Calibri"/>
          <w:sz w:val="23"/>
          <w:szCs w:val="23"/>
        </w:rPr>
        <w:t xml:space="preserve"> They can be measured. The difficulty is that they are incredibly regionally specific.</w:t>
      </w:r>
    </w:p>
    <w:p>
      <w:pPr>
        <w:spacing w:after="160" w:line="276"/>
      </w:pPr>
      <w:r>
        <w:rPr>
          <w:rFonts w:ascii="Calibri" w:cs="Calibri" w:eastAsia="Calibri" w:hAnsi="Calibri"/>
          <w:b/>
          <w:bCs/>
          <w:sz w:val="23"/>
          <w:szCs w:val="23"/>
        </w:rPr>
        <w:t xml:space="preserve">Mindy Ahler:</w:t>
      </w:r>
      <w:r>
        <w:rPr>
          <w:rFonts w:ascii="Calibri" w:cs="Calibri" w:eastAsia="Calibri" w:hAnsi="Calibri"/>
          <w:sz w:val="23"/>
          <w:szCs w:val="23"/>
        </w:rPr>
        <w:t xml:space="preserve"> Got it. Thank you. A carbon price is meant to encourage people to switch to lower-carbon choices. How do distributional impacts change over time, given that lower-income households may not have as much ability to invest in the higher upfront costs of low-carbon alternatives?</w:t>
      </w:r>
    </w:p>
    <w:p>
      <w:pPr>
        <w:spacing w:after="160" w:line="276"/>
      </w:pPr>
      <w:r>
        <w:rPr>
          <w:rFonts w:ascii="Calibri" w:cs="Calibri" w:eastAsia="Calibri" w:hAnsi="Calibri"/>
          <w:b/>
          <w:bCs/>
          <w:sz w:val="23"/>
          <w:szCs w:val="23"/>
        </w:rPr>
        <w:t xml:space="preserve">Marc Hafstead:</w:t>
      </w:r>
      <w:r>
        <w:rPr>
          <w:rFonts w:ascii="Calibri" w:cs="Calibri" w:eastAsia="Calibri" w:hAnsi="Calibri"/>
          <w:sz w:val="23"/>
          <w:szCs w:val="23"/>
        </w:rPr>
        <w:t xml:space="preserve"> [53:35] It's true that lower-income households already spend a higher fraction of their income on energy. It's also true that they are less able to pay the upfront costs of switching. I used the EV example, but you could also use installing heat pumps or more energy-efficient windows. All of these have upfront costs, and lower-income households will be harder-pressed to pay for those investments.</w:t>
      </w:r>
    </w:p>
    <w:p>
      <w:pPr>
        <w:spacing w:after="160" w:line="276"/>
      </w:pPr>
      <w:r>
        <w:rPr>
          <w:rFonts w:ascii="Calibri" w:cs="Calibri" w:eastAsia="Calibri" w:hAnsi="Calibri"/>
          <w:sz w:val="23"/>
          <w:szCs w:val="23"/>
        </w:rPr>
        <w:t xml:space="preserve">So it's a double whammy for lower-income households. They already spend more on energy, and their ability to adapt is probably smaller. In our models, we can build in a smaller adaptation response for those households. How specifically that gets modeled depends on the model. Not every model can capture every intricate behavioral response, or every intricacy that comes with a policy like this.</w:t>
      </w:r>
    </w:p>
    <w:p>
      <w:pPr>
        <w:spacing w:after="160" w:line="276"/>
      </w:pPr>
      <w:r>
        <w:rPr>
          <w:rFonts w:ascii="Calibri" w:cs="Calibri" w:eastAsia="Calibri" w:hAnsi="Calibri"/>
          <w:sz w:val="23"/>
          <w:szCs w:val="23"/>
        </w:rPr>
        <w:t xml:space="preserve">So the argument would be this. In addition to helping low-income households pay for these higher expenses, you might also want to invest some of the money to help them pay for the technologies. That way they don't face higher energy expenditures in the future.</w:t>
      </w:r>
    </w:p>
    <w:p>
      <w:pPr>
        <w:pStyle w:val="Heading1"/>
        <w:spacing w:after="160" w:before="360"/>
      </w:pPr>
      <w:r>
        <w:rPr>
          <w:rFonts w:ascii="Calibri" w:cs="Calibri" w:eastAsia="Calibri" w:hAnsi="Calibri"/>
          <w:b/>
          <w:bCs/>
          <w:sz w:val="30"/>
          <w:szCs w:val="30"/>
        </w:rPr>
        <w:t xml:space="preserve">Wrap-up and Conclusion</w:t>
      </w:r>
    </w:p>
    <w:p>
      <w:pPr>
        <w:spacing w:after="160" w:line="276"/>
      </w:pPr>
      <w:r>
        <w:rPr>
          <w:rFonts w:ascii="Calibri" w:cs="Calibri" w:eastAsia="Calibri" w:hAnsi="Calibri"/>
          <w:b/>
          <w:bCs/>
          <w:sz w:val="23"/>
          <w:szCs w:val="23"/>
        </w:rPr>
        <w:t xml:space="preserve">Mindy Ahler:</w:t>
      </w:r>
      <w:r>
        <w:rPr>
          <w:rFonts w:ascii="Calibri" w:cs="Calibri" w:eastAsia="Calibri" w:hAnsi="Calibri"/>
          <w:sz w:val="23"/>
          <w:szCs w:val="23"/>
        </w:rPr>
        <w:t xml:space="preserve"> [54:58] Thank you. You've given us a lot to think about and chew on over the next couple of weeks. A few more quick reminders.</w:t>
      </w:r>
    </w:p>
    <w:p>
      <w:pPr>
        <w:spacing w:after="160" w:line="276"/>
      </w:pPr>
      <w:r>
        <w:rPr>
          <w:rFonts w:ascii="Calibri" w:cs="Calibri" w:eastAsia="Calibri" w:hAnsi="Calibri"/>
          <w:sz w:val="23"/>
          <w:szCs w:val="23"/>
        </w:rPr>
        <w:t xml:space="preserve">First is our feedback session, hosted by our Carbon Pricing Action Team. We hold these after each session of the series so we can pull out all the learnings and gather the full perspectives of what you, our volunteers and guests, are hearing on these calls, and how it should inform our work going forward. The feedback session for this call will be on </w:t>
      </w:r>
      <w:r>
        <w:rPr>
          <w:rFonts w:ascii="Calibri" w:cs="Calibri" w:eastAsia="Calibri" w:hAnsi="Calibri"/>
          <w:b/>
          <w:bCs/>
          <w:sz w:val="23"/>
          <w:szCs w:val="23"/>
        </w:rPr>
        <w:t xml:space="preserve">October 21</w:t>
      </w:r>
      <w:r>
        <w:rPr>
          <w:rFonts w:ascii="Calibri" w:cs="Calibri" w:eastAsia="Calibri" w:hAnsi="Calibri"/>
          <w:sz w:val="23"/>
          <w:szCs w:val="23"/>
        </w:rPr>
        <w:t xml:space="preserve">. That gives those who weren't able to be here live time to watch the recording, and gives the rest of you time to review anything you missed before that session.</w:t>
      </w:r>
    </w:p>
    <w:p>
      <w:pPr>
        <w:spacing w:after="160" w:line="276"/>
      </w:pPr>
      <w:r>
        <w:rPr>
          <w:rFonts w:ascii="Calibri" w:cs="Calibri" w:eastAsia="Calibri" w:hAnsi="Calibri"/>
          <w:sz w:val="23"/>
          <w:szCs w:val="23"/>
        </w:rPr>
        <w:t xml:space="preserve">Please also join us for the next session in our series on </w:t>
      </w:r>
      <w:r>
        <w:rPr>
          <w:rFonts w:ascii="Calibri" w:cs="Calibri" w:eastAsia="Calibri" w:hAnsi="Calibri"/>
          <w:b/>
          <w:bCs/>
          <w:sz w:val="23"/>
          <w:szCs w:val="23"/>
        </w:rPr>
        <w:t xml:space="preserve">November 5</w:t>
      </w:r>
      <w:r>
        <w:rPr>
          <w:rFonts w:ascii="Calibri" w:cs="Calibri" w:eastAsia="Calibri" w:hAnsi="Calibri"/>
          <w:sz w:val="23"/>
          <w:szCs w:val="23"/>
        </w:rPr>
        <w:t xml:space="preserve">. The topic is current policy trends: CBAMs, intensity standards, and sectors. You can learn more and sign up from the education series page. Once again, remember to log your attendance if you haven't already.</w:t>
      </w:r>
    </w:p>
    <w:p>
      <w:pPr>
        <w:spacing w:after="160" w:line="276"/>
      </w:pPr>
      <w:r>
        <w:rPr>
          <w:rFonts w:ascii="Calibri" w:cs="Calibri" w:eastAsia="Calibri" w:hAnsi="Calibri"/>
          <w:sz w:val="23"/>
          <w:szCs w:val="23"/>
        </w:rPr>
        <w:t xml:space="preserve">[56:13] A final reminder: you will be able to find the recording, the slides, and the links shared tonight on the CCL Community event page and on our Carbon Pricing Series page in the next day or two. We're pretty quick at getting those up, because we know how quickly people like to review them.</w:t>
      </w:r>
    </w:p>
    <w:p>
      <w:pPr>
        <w:spacing w:after="160" w:line="276"/>
      </w:pPr>
      <w:r>
        <w:rPr>
          <w:rFonts w:ascii="Calibri" w:cs="Calibri" w:eastAsia="Calibri" w:hAnsi="Calibri"/>
          <w:sz w:val="23"/>
          <w:szCs w:val="23"/>
        </w:rPr>
        <w:t xml:space="preserve">If you're new to Citizens' Climate Lobby, we encourage you to learn more about us. We invite you to join our informational session, held every Wednesday night at 8:00 p.m. Eastern. You can RSVP at </w:t>
      </w:r>
      <w:hyperlink w:history="1" r:id="rId2ipl0lpec9uwwsswerlwt">
        <w:r>
          <w:rPr>
            <w:rStyle w:val="Hyperlink"/>
            <w:rFonts w:ascii="Calibri" w:cs="Calibri" w:eastAsia="Calibri" w:hAnsi="Calibri"/>
            <w:sz w:val="23"/>
            <w:szCs w:val="23"/>
          </w:rPr>
          <w:t xml:space="preserve">cclusa.org/info</w:t>
        </w:r>
      </w:hyperlink>
      <w:r>
        <w:rPr>
          <w:rFonts w:ascii="Calibri" w:cs="Calibri" w:eastAsia="Calibri" w:hAnsi="Calibri"/>
          <w:sz w:val="23"/>
          <w:szCs w:val="23"/>
        </w:rPr>
        <w:t xml:space="preserve">. If you'd like to learn more about our partner RFF, you can find them at </w:t>
      </w:r>
      <w:hyperlink w:history="1" r:id="rIdpoznz7bapmy9einse2ouh">
        <w:r>
          <w:rPr>
            <w:rStyle w:val="Hyperlink"/>
            <w:rFonts w:ascii="Calibri" w:cs="Calibri" w:eastAsia="Calibri" w:hAnsi="Calibri"/>
            <w:sz w:val="23"/>
            <w:szCs w:val="23"/>
          </w:rPr>
          <w:t xml:space="preserve">rff.org</w:t>
        </w:r>
      </w:hyperlink>
      <w:r>
        <w:rPr>
          <w:rFonts w:ascii="Calibri" w:cs="Calibri" w:eastAsia="Calibri" w:hAnsi="Calibri"/>
          <w:sz w:val="23"/>
          <w:szCs w:val="23"/>
        </w:rPr>
        <w:t xml:space="preserve">.</w:t>
      </w:r>
    </w:p>
    <w:p>
      <w:pPr>
        <w:spacing w:after="160" w:line="276"/>
      </w:pPr>
      <w:r>
        <w:rPr>
          <w:rFonts w:ascii="Calibri" w:cs="Calibri" w:eastAsia="Calibri" w:hAnsi="Calibri"/>
          <w:sz w:val="23"/>
          <w:szCs w:val="23"/>
        </w:rPr>
        <w:t xml:space="preserve">With that, I want to thank you all for joining us tonight and wish you a very good night.</w:t>
      </w:r>
    </w:p>
    <w:p>
      <w:pPr>
        <w:spacing w:after="160" w:line="276"/>
      </w:pPr>
      <w:r>
        <w:rPr>
          <w:rFonts w:ascii="Calibri" w:cs="Calibri" w:eastAsia="Calibri" w:hAnsi="Calibri"/>
          <w:b/>
          <w:bCs/>
          <w:sz w:val="23"/>
          <w:szCs w:val="23"/>
        </w:rPr>
        <w:t xml:space="preserve">Closing announcement (CCL podcast outro):</w:t>
      </w:r>
      <w:r>
        <w:rPr>
          <w:rFonts w:ascii="Calibri" w:cs="Calibri" w:eastAsia="Calibri" w:hAnsi="Calibri"/>
          <w:sz w:val="23"/>
          <w:szCs w:val="23"/>
        </w:rPr>
        <w:t xml:space="preserve"> [57:04] Thank you for listening to this episode of Citizens' Climate Lobby's training program. You can tune in to more episodes anywhere podcasts are available.</w:t>
      </w:r>
    </w:p>
    <w:p>
      <w:pPr>
        <w:spacing w:after="160" w:line="276"/>
      </w:pPr>
      <w:r>
        <w:rPr>
          <w:rFonts w:ascii="Calibri" w:cs="Calibri" w:eastAsia="Calibri" w:hAnsi="Calibri"/>
          <w:sz w:val="23"/>
          <w:szCs w:val="23"/>
        </w:rPr>
        <w:t xml:space="preserve">Inspired by what you heard today? Join Citizens' Climate Lobby to advocate for bipartisan climate solutions. Go to </w:t>
      </w:r>
      <w:hyperlink w:history="1" r:id="rIdweppxu4xgm3dx-iia2gg9">
        <w:r>
          <w:rPr>
            <w:rStyle w:val="Hyperlink"/>
            <w:rFonts w:ascii="Calibri" w:cs="Calibri" w:eastAsia="Calibri" w:hAnsi="Calibri"/>
            <w:sz w:val="23"/>
            <w:szCs w:val="23"/>
          </w:rPr>
          <w:t xml:space="preserve">community.citizensclimate.org</w:t>
        </w:r>
      </w:hyperlink>
      <w:r>
        <w:rPr>
          <w:rFonts w:ascii="Calibri" w:cs="Calibri" w:eastAsia="Calibri" w:hAnsi="Calibri"/>
          <w:sz w:val="23"/>
          <w:szCs w:val="23"/>
        </w:rPr>
        <w:t xml:space="preserve"> to find more trainings, resources, your local chapter, national action teams, discussion forums, and more. Be sure to like our Facebook page and follow us on Twitter and Instagram at @citizensclimate. We also invite all of our listeners to subscribe to our YouTube channel for more inspiration.</w:t>
      </w:r>
    </w:p>
    <w:p>
      <w:pPr>
        <w:spacing w:after="160" w:line="276"/>
      </w:pPr>
      <w:r>
        <w:rPr>
          <w:rFonts w:ascii="Calibri" w:cs="Calibri" w:eastAsia="Calibri" w:hAnsi="Calibri"/>
          <w:sz w:val="23"/>
          <w:szCs w:val="23"/>
        </w:rPr>
        <w:t xml:space="preserve">Like what you hear? Recommend us to your friends and give us a five-star rating. It helps us show up in other listeners' feeds. Feel free to pass on any suggestions for future episodes in the comments as well. Together, we are creating the political will for a livable world.</w:t>
      </w:r>
    </w:p>
    <w:p>
      <w:r>
        <w:br w:type="page"/>
      </w:r>
    </w:p>
    <w:p>
      <w:pPr>
        <w:pStyle w:val="Heading1"/>
        <w:spacing w:after="160" w:before="360"/>
      </w:pPr>
      <w:r>
        <w:rPr>
          <w:rFonts w:ascii="Calibri" w:cs="Calibri" w:eastAsia="Calibri" w:hAnsi="Calibri"/>
          <w:b/>
          <w:bCs/>
          <w:sz w:val="30"/>
          <w:szCs w:val="30"/>
        </w:rPr>
        <w:t xml:space="preserve">Editor's Notes</w:t>
      </w:r>
    </w:p>
    <w:p>
      <w:pPr>
        <w:pStyle w:val="Heading2"/>
        <w:spacing w:after="120" w:before="280"/>
      </w:pPr>
      <w:r>
        <w:rPr>
          <w:rFonts w:ascii="Calibri" w:cs="Calibri" w:eastAsia="Calibri" w:hAnsi="Calibri"/>
          <w:b/>
          <w:bCs/>
          <w:sz w:val="26"/>
          <w:szCs w:val="26"/>
        </w:rPr>
        <w:t xml:space="preserve">Hyperlinks</w:t>
      </w:r>
    </w:p>
    <w:p>
      <w:pPr>
        <w:spacing w:after="160" w:line="276"/>
      </w:pPr>
      <w:r>
        <w:rPr>
          <w:rFonts w:ascii="Calibri" w:cs="Calibri" w:eastAsia="Calibri" w:hAnsi="Calibri"/>
          <w:sz w:val="23"/>
          <w:szCs w:val="23"/>
        </w:rPr>
        <w:t xml:space="preserve">The raw transcript is plain text and contains no actual URLs, only spoken ones. I linked the three spoken web addresses:</w:t>
      </w:r>
    </w:p>
    <w:p>
      <w:pPr>
        <w:pStyle w:val="ListParagraph"/>
        <w:numPr>
          <w:ilvl w:val="0"/>
          <w:numId w:val="2"/>
        </w:numPr>
        <w:spacing w:after="80"/>
      </w:pPr>
      <w:hyperlink w:history="1" r:id="rIdxna2zqw2oderfdbn8wd1l">
        <w:r>
          <w:rPr>
            <w:rStyle w:val="Hyperlink"/>
            <w:rFonts w:ascii="Calibri" w:cs="Calibri" w:eastAsia="Calibri" w:hAnsi="Calibri"/>
            <w:sz w:val="23"/>
            <w:szCs w:val="23"/>
          </w:rPr>
          <w:t xml:space="preserve">cclusa.org/info</w:t>
        </w:r>
      </w:hyperlink>
    </w:p>
    <w:p>
      <w:pPr>
        <w:pStyle w:val="ListParagraph"/>
        <w:numPr>
          <w:ilvl w:val="0"/>
          <w:numId w:val="2"/>
        </w:numPr>
        <w:spacing w:after="80"/>
      </w:pPr>
      <w:hyperlink w:history="1" r:id="rIdsji3bwgjo4m3a9vvjjehy">
        <w:r>
          <w:rPr>
            <w:rStyle w:val="Hyperlink"/>
            <w:rFonts w:ascii="Calibri" w:cs="Calibri" w:eastAsia="Calibri" w:hAnsi="Calibri"/>
            <w:sz w:val="23"/>
            <w:szCs w:val="23"/>
          </w:rPr>
          <w:t xml:space="preserve">rff.org</w:t>
        </w:r>
      </w:hyperlink>
    </w:p>
    <w:p>
      <w:pPr>
        <w:pStyle w:val="ListParagraph"/>
        <w:numPr>
          <w:ilvl w:val="0"/>
          <w:numId w:val="2"/>
        </w:numPr>
        <w:spacing w:after="80"/>
      </w:pPr>
      <w:hyperlink w:history="1" r:id="rIdeigq3fqjw6zfn5nr6h2xo">
        <w:r>
          <w:rPr>
            <w:rStyle w:val="Hyperlink"/>
            <w:rFonts w:ascii="Calibri" w:cs="Calibri" w:eastAsia="Calibri" w:hAnsi="Calibri"/>
            <w:sz w:val="23"/>
            <w:szCs w:val="23"/>
          </w:rPr>
          <w:t xml:space="preserve">community.citizensclimate.org</w:t>
        </w:r>
      </w:hyperlink>
      <w:r>
        <w:rPr>
          <w:rFonts w:ascii="Calibri" w:cs="Calibri" w:eastAsia="Calibri" w:hAnsi="Calibri"/>
          <w:sz w:val="23"/>
          <w:szCs w:val="23"/>
        </w:rPr>
        <w:t xml:space="preserve"> (the machine wrote "community.cscitizensclimate.org")</w:t>
      </w:r>
    </w:p>
    <w:p>
      <w:pPr>
        <w:spacing w:after="160" w:line="276"/>
      </w:pPr>
      <w:r>
        <w:rPr>
          <w:rFonts w:ascii="Calibri" w:cs="Calibri" w:eastAsia="Calibri" w:hAnsi="Calibri"/>
          <w:sz w:val="23"/>
          <w:szCs w:val="23"/>
        </w:rPr>
        <w:t xml:space="preserve">Marc said the slides contain live links to the RFF Carbon Pricing Calculator, Bill Tracker, Explainer Series, the Virginia RGGI and Affordability Data Tool, and the RFF </w:t>
      </w:r>
      <w:r>
        <w:rPr>
          <w:rFonts w:ascii="Calibri" w:cs="Calibri" w:eastAsia="Calibri" w:hAnsi="Calibri"/>
          <w:i/>
          <w:iCs/>
          <w:sz w:val="23"/>
          <w:szCs w:val="23"/>
        </w:rPr>
        <w:t xml:space="preserve">Resources</w:t>
      </w:r>
      <w:r>
        <w:rPr>
          <w:rFonts w:ascii="Calibri" w:cs="Calibri" w:eastAsia="Calibri" w:hAnsi="Calibri"/>
          <w:sz w:val="23"/>
          <w:szCs w:val="23"/>
        </w:rPr>
        <w:t xml:space="preserve"> article. Those URLs are not in the transcript, so I did not guess at them. I can look them up if you'd like them added.</w:t>
      </w:r>
    </w:p>
    <w:p>
      <w:pPr>
        <w:pStyle w:val="Heading2"/>
        <w:spacing w:after="120" w:before="280"/>
      </w:pPr>
      <w:r>
        <w:rPr>
          <w:rFonts w:ascii="Calibri" w:cs="Calibri" w:eastAsia="Calibri" w:hAnsi="Calibri"/>
          <w:b/>
          <w:bCs/>
          <w:sz w:val="26"/>
          <w:szCs w:val="26"/>
        </w:rPr>
        <w:t xml:space="preserve">Corrections made to the machine transcript</w:t>
      </w:r>
    </w:p>
    <w:p>
      <w:pPr>
        <w:pStyle w:val="ListParagraph"/>
        <w:numPr>
          <w:ilvl w:val="0"/>
          <w:numId w:val="2"/>
        </w:numPr>
        <w:spacing w:after="80"/>
      </w:pPr>
      <w:r>
        <w:rPr>
          <w:rFonts w:ascii="Calibri" w:cs="Calibri" w:eastAsia="Calibri" w:hAnsi="Calibri"/>
          <w:sz w:val="23"/>
          <w:szCs w:val="23"/>
        </w:rPr>
        <w:t xml:space="preserve">"Mark Hastad" and "Mark Hstead" are corrected to Marc Hafstead.</w:t>
      </w:r>
    </w:p>
    <w:p>
      <w:pPr>
        <w:pStyle w:val="ListParagraph"/>
        <w:numPr>
          <w:ilvl w:val="0"/>
          <w:numId w:val="2"/>
        </w:numPr>
        <w:spacing w:after="80"/>
      </w:pPr>
      <w:r>
        <w:rPr>
          <w:rFonts w:ascii="Calibri" w:cs="Calibri" w:eastAsia="Calibri" w:hAnsi="Calibri"/>
          <w:sz w:val="23"/>
          <w:szCs w:val="23"/>
        </w:rPr>
        <w:t xml:space="preserve">"RF," "RF's," and "RFF's" are corrected to RFF throughout.</w:t>
      </w:r>
    </w:p>
    <w:p>
      <w:pPr>
        <w:pStyle w:val="ListParagraph"/>
        <w:numPr>
          <w:ilvl w:val="0"/>
          <w:numId w:val="2"/>
        </w:numPr>
        <w:spacing w:after="80"/>
      </w:pPr>
      <w:r>
        <w:rPr>
          <w:rFonts w:ascii="Calibri" w:cs="Calibri" w:eastAsia="Calibri" w:hAnsi="Calibri"/>
          <w:sz w:val="23"/>
          <w:szCs w:val="23"/>
        </w:rPr>
        <w:t xml:space="preserve">"Republican" is corrected to RepublicEN.</w:t>
      </w:r>
    </w:p>
    <w:p>
      <w:pPr>
        <w:pStyle w:val="ListParagraph"/>
        <w:numPr>
          <w:ilvl w:val="0"/>
          <w:numId w:val="2"/>
        </w:numPr>
        <w:spacing w:after="80"/>
      </w:pPr>
      <w:r>
        <w:rPr>
          <w:rFonts w:ascii="Calibri" w:cs="Calibri" w:eastAsia="Calibri" w:hAnsi="Calibri"/>
          <w:sz w:val="23"/>
          <w:szCs w:val="23"/>
        </w:rPr>
        <w:t xml:space="preserve">"Granger and Colad" and "Colestead" are corrected to Grainger and Kolstad.</w:t>
      </w:r>
    </w:p>
    <w:p>
      <w:pPr>
        <w:pStyle w:val="ListParagraph"/>
        <w:numPr>
          <w:ilvl w:val="0"/>
          <w:numId w:val="2"/>
        </w:numPr>
        <w:spacing w:after="80"/>
      </w:pPr>
      <w:r>
        <w:rPr>
          <w:rFonts w:ascii="Calibri" w:cs="Calibri" w:eastAsia="Calibri" w:hAnsi="Calibri"/>
          <w:sz w:val="23"/>
          <w:szCs w:val="23"/>
        </w:rPr>
        <w:t xml:space="preserve">"Roush" is corrected to Rausch.</w:t>
      </w:r>
    </w:p>
    <w:p>
      <w:pPr>
        <w:pStyle w:val="ListParagraph"/>
        <w:numPr>
          <w:ilvl w:val="0"/>
          <w:numId w:val="2"/>
        </w:numPr>
        <w:spacing w:after="80"/>
      </w:pPr>
      <w:r>
        <w:rPr>
          <w:rFonts w:ascii="Calibri" w:cs="Calibri" w:eastAsia="Calibri" w:hAnsi="Calibri"/>
          <w:sz w:val="23"/>
          <w:szCs w:val="23"/>
        </w:rPr>
        <w:t xml:space="preserve">"Horus et al." is corrected to Horowitz et al.</w:t>
      </w:r>
    </w:p>
    <w:p>
      <w:pPr>
        <w:pStyle w:val="ListParagraph"/>
        <w:numPr>
          <w:ilvl w:val="0"/>
          <w:numId w:val="2"/>
        </w:numPr>
        <w:spacing w:after="80"/>
      </w:pPr>
      <w:r>
        <w:rPr>
          <w:rFonts w:ascii="Calibri" w:cs="Calibri" w:eastAsia="Calibri" w:hAnsi="Calibri"/>
          <w:sz w:val="23"/>
          <w:szCs w:val="23"/>
        </w:rPr>
        <w:t xml:space="preserve">"Goulder Hstead Kim Long" is corrected to Goulder, Hafstead, Kim, and Long. The earlier transcript captured only "Goulder Halstead."</w:t>
      </w:r>
    </w:p>
    <w:p>
      <w:pPr>
        <w:pStyle w:val="ListParagraph"/>
        <w:numPr>
          <w:ilvl w:val="0"/>
          <w:numId w:val="2"/>
        </w:numPr>
        <w:spacing w:after="80"/>
      </w:pPr>
      <w:r>
        <w:rPr>
          <w:rFonts w:ascii="Calibri" w:cs="Calibri" w:eastAsia="Calibri" w:hAnsi="Calibri"/>
          <w:sz w:val="23"/>
          <w:szCs w:val="23"/>
        </w:rPr>
        <w:t xml:space="preserve">"Dallas Bertra" is corrected to Dallas Burtraw.</w:t>
      </w:r>
    </w:p>
    <w:p>
      <w:pPr>
        <w:pStyle w:val="ListParagraph"/>
        <w:numPr>
          <w:ilvl w:val="0"/>
          <w:numId w:val="2"/>
        </w:numPr>
        <w:spacing w:after="80"/>
      </w:pPr>
      <w:r>
        <w:rPr>
          <w:rFonts w:ascii="Calibri" w:cs="Calibri" w:eastAsia="Calibri" w:hAnsi="Calibri"/>
          <w:sz w:val="23"/>
          <w:szCs w:val="23"/>
        </w:rPr>
        <w:t xml:space="preserve">"Reggie" is corrected to RGGI (Regional Greenhouse Gas Initiative).</w:t>
      </w:r>
    </w:p>
    <w:p>
      <w:pPr>
        <w:pStyle w:val="ListParagraph"/>
        <w:numPr>
          <w:ilvl w:val="0"/>
          <w:numId w:val="2"/>
        </w:numPr>
        <w:spacing w:after="80"/>
      </w:pPr>
      <w:r>
        <w:rPr>
          <w:rFonts w:ascii="Calibri" w:cs="Calibri" w:eastAsia="Calibri" w:hAnsi="Calibri"/>
          <w:sz w:val="23"/>
          <w:szCs w:val="23"/>
        </w:rPr>
        <w:t xml:space="preserve">"Cubello" and "Carbelloo" are corrected to Curbelo.</w:t>
      </w:r>
    </w:p>
    <w:p>
      <w:pPr>
        <w:pStyle w:val="ListParagraph"/>
        <w:numPr>
          <w:ilvl w:val="0"/>
          <w:numId w:val="2"/>
        </w:numPr>
        <w:spacing w:after="80"/>
      </w:pPr>
      <w:r>
        <w:rPr>
          <w:rFonts w:ascii="Calibri" w:cs="Calibri" w:eastAsia="Calibri" w:hAnsi="Calibri"/>
          <w:sz w:val="23"/>
          <w:szCs w:val="23"/>
        </w:rPr>
        <w:t xml:space="preserve">"Fpatrick" is corrected to Fitzpatrick.</w:t>
      </w:r>
    </w:p>
    <w:p>
      <w:pPr>
        <w:pStyle w:val="ListParagraph"/>
        <w:numPr>
          <w:ilvl w:val="0"/>
          <w:numId w:val="2"/>
        </w:numPr>
        <w:spacing w:after="80"/>
      </w:pPr>
      <w:r>
        <w:rPr>
          <w:rFonts w:ascii="Calibri" w:cs="Calibri" w:eastAsia="Calibri" w:hAnsi="Calibri"/>
          <w:sz w:val="23"/>
          <w:szCs w:val="23"/>
        </w:rPr>
        <w:t xml:space="preserve">"LG" is corrected to LNG.</w:t>
      </w:r>
    </w:p>
    <w:p>
      <w:pPr>
        <w:pStyle w:val="ListParagraph"/>
        <w:numPr>
          <w:ilvl w:val="0"/>
          <w:numId w:val="2"/>
        </w:numPr>
        <w:spacing w:after="80"/>
      </w:pPr>
      <w:r>
        <w:rPr>
          <w:rFonts w:ascii="Calibri" w:cs="Calibri" w:eastAsia="Calibri" w:hAnsi="Calibri"/>
          <w:sz w:val="23"/>
          <w:szCs w:val="23"/>
        </w:rPr>
        <w:t xml:space="preserve">"vague statements" is corrected to "bank statements," based on the earlier transcript.</w:t>
      </w:r>
    </w:p>
    <w:p>
      <w:pPr>
        <w:pStyle w:val="ListParagraph"/>
        <w:numPr>
          <w:ilvl w:val="0"/>
          <w:numId w:val="2"/>
        </w:numPr>
        <w:spacing w:after="80"/>
      </w:pPr>
      <w:r>
        <w:rPr>
          <w:rFonts w:ascii="Calibri" w:cs="Calibri" w:eastAsia="Calibri" w:hAnsi="Calibri"/>
          <w:sz w:val="23"/>
          <w:szCs w:val="23"/>
        </w:rPr>
        <w:t xml:space="preserve">"mounting uh climate risk" is corrected to "carbon accounting, climate risk and resilience," based on the earlier transcript.</w:t>
      </w:r>
    </w:p>
    <w:p>
      <w:pPr>
        <w:pStyle w:val="ListParagraph"/>
        <w:numPr>
          <w:ilvl w:val="0"/>
          <w:numId w:val="2"/>
        </w:numPr>
        <w:spacing w:after="80"/>
      </w:pPr>
      <w:r>
        <w:rPr>
          <w:rFonts w:ascii="Calibri" w:cs="Calibri" w:eastAsia="Calibri" w:hAnsi="Calibri"/>
          <w:sz w:val="23"/>
          <w:szCs w:val="23"/>
        </w:rPr>
        <w:t xml:space="preserve">"desk aisles" is corrected to "deciles."</w:t>
      </w:r>
    </w:p>
    <w:p>
      <w:pPr>
        <w:pStyle w:val="ListParagraph"/>
        <w:numPr>
          <w:ilvl w:val="0"/>
          <w:numId w:val="2"/>
        </w:numPr>
        <w:spacing w:after="80"/>
      </w:pPr>
      <w:r>
        <w:rPr>
          <w:rFonts w:ascii="Calibri" w:cs="Calibri" w:eastAsia="Calibri" w:hAnsi="Calibri"/>
          <w:sz w:val="23"/>
          <w:szCs w:val="23"/>
        </w:rPr>
        <w:t xml:space="preserve">"CBAMS" is rendered as CBAMs (carbon border adjustment mechanisms).</w:t>
      </w:r>
    </w:p>
    <w:p>
      <w:pPr>
        <w:pStyle w:val="Heading2"/>
        <w:spacing w:after="120" w:before="280"/>
      </w:pPr>
      <w:r>
        <w:rPr>
          <w:rFonts w:ascii="Calibri" w:cs="Calibri" w:eastAsia="Calibri" w:hAnsi="Calibri"/>
          <w:b/>
          <w:bCs/>
          <w:sz w:val="26"/>
          <w:szCs w:val="26"/>
        </w:rPr>
        <w:t xml:space="preserve">Items to verify</w:t>
      </w:r>
    </w:p>
    <w:p>
      <w:pPr>
        <w:pStyle w:val="ListParagraph"/>
        <w:numPr>
          <w:ilvl w:val="0"/>
          <w:numId w:val="3"/>
        </w:numPr>
        <w:spacing w:after="80"/>
      </w:pPr>
      <w:r>
        <w:rPr>
          <w:rFonts w:ascii="Calibri" w:cs="Calibri" w:eastAsia="Calibri" w:hAnsi="Calibri"/>
          <w:b/>
          <w:bCs/>
          <w:sz w:val="23"/>
          <w:szCs w:val="23"/>
        </w:rPr>
        <w:t xml:space="preserve">Host's surname:</w:t>
      </w:r>
      <w:r>
        <w:rPr>
          <w:rFonts w:ascii="Calibri" w:cs="Calibri" w:eastAsia="Calibri" w:hAnsi="Calibri"/>
          <w:sz w:val="23"/>
          <w:szCs w:val="23"/>
        </w:rPr>
        <w:t xml:space="preserve"> The raw text says "Mindy Aller." The earlier transcript said "Ahler." I used Ahler.</w:t>
      </w:r>
    </w:p>
    <w:p>
      <w:pPr>
        <w:pStyle w:val="ListParagraph"/>
        <w:numPr>
          <w:ilvl w:val="0"/>
          <w:numId w:val="3"/>
        </w:numPr>
        <w:spacing w:after="80"/>
      </w:pPr>
      <w:r>
        <w:rPr>
          <w:rFonts w:ascii="Calibri" w:cs="Calibri" w:eastAsia="Calibri" w:hAnsi="Calibri"/>
          <w:b/>
          <w:bCs/>
          <w:sz w:val="23"/>
          <w:szCs w:val="23"/>
        </w:rPr>
        <w:t xml:space="preserve">Spellings:</w:t>
      </w:r>
      <w:r>
        <w:rPr>
          <w:rFonts w:ascii="Calibri" w:cs="Calibri" w:eastAsia="Calibri" w:hAnsi="Calibri"/>
          <w:sz w:val="23"/>
          <w:szCs w:val="23"/>
        </w:rPr>
        <w:t xml:space="preserve"> Please confirm Grainger, Kolstad, Rausch, Horowitz, Burtraw, and Cronin, plus the first names Don Fullerton and Steve Sexton.</w:t>
      </w:r>
    </w:p>
    <w:p>
      <w:pPr>
        <w:pStyle w:val="ListParagraph"/>
        <w:numPr>
          <w:ilvl w:val="0"/>
          <w:numId w:val="3"/>
        </w:numPr>
        <w:spacing w:after="80"/>
      </w:pPr>
      <w:r>
        <w:rPr>
          <w:rFonts w:ascii="Calibri" w:cs="Calibri" w:eastAsia="Calibri" w:hAnsi="Calibri"/>
          <w:b/>
          <w:bCs/>
          <w:sz w:val="23"/>
          <w:szCs w:val="23"/>
        </w:rPr>
        <w:t xml:space="preserve">Paper title:</w:t>
      </w:r>
      <w:r>
        <w:rPr>
          <w:rFonts w:ascii="Calibri" w:cs="Calibri" w:eastAsia="Calibri" w:hAnsi="Calibri"/>
          <w:sz w:val="23"/>
          <w:szCs w:val="23"/>
        </w:rPr>
        <w:t xml:space="preserve"> I kept the title as Marc spoke it, "Impacts of a U.S. Carbon Tax Across Income Groups." The published title of the Goulder et al. paper may differ slightly.</w:t>
      </w:r>
    </w:p>
    <w:p>
      <w:pPr>
        <w:pStyle w:val="ListParagraph"/>
        <w:numPr>
          <w:ilvl w:val="0"/>
          <w:numId w:val="3"/>
        </w:numPr>
        <w:spacing w:after="80"/>
      </w:pPr>
      <w:r>
        <w:rPr>
          <w:rFonts w:ascii="Calibri" w:cs="Calibri" w:eastAsia="Calibri" w:hAnsi="Calibri"/>
          <w:b/>
          <w:bCs/>
          <w:sz w:val="23"/>
          <w:szCs w:val="23"/>
        </w:rPr>
        <w:t xml:space="preserve">The $49 per metric ton figure:</w:t>
      </w:r>
      <w:r>
        <w:rPr>
          <w:rFonts w:ascii="Calibri" w:cs="Calibri" w:eastAsia="Calibri" w:hAnsi="Calibri"/>
          <w:sz w:val="23"/>
          <w:szCs w:val="23"/>
        </w:rPr>
        <w:t xml:space="preserve"> This is as spoken. Please check it against the Treasury paper [UNVERIFIED].</w:t>
      </w:r>
    </w:p>
    <w:p>
      <w:pPr>
        <w:pStyle w:val="ListParagraph"/>
        <w:numPr>
          <w:ilvl w:val="0"/>
          <w:numId w:val="3"/>
        </w:numPr>
        <w:spacing w:after="80"/>
      </w:pPr>
      <w:r>
        <w:rPr>
          <w:rFonts w:ascii="Calibri" w:cs="Calibri" w:eastAsia="Calibri" w:hAnsi="Calibri"/>
          <w:b/>
          <w:bCs/>
          <w:sz w:val="23"/>
          <w:szCs w:val="23"/>
        </w:rPr>
        <w:t xml:space="preserve">Dates:</w:t>
      </w:r>
      <w:r>
        <w:rPr>
          <w:rFonts w:ascii="Calibri" w:cs="Calibri" w:eastAsia="Calibri" w:hAnsi="Calibri"/>
          <w:sz w:val="23"/>
          <w:szCs w:val="23"/>
        </w:rPr>
        <w:t xml:space="preserve"> The October 21 feedback session and November 5 next session are as spoken. Please check them against CCL's series page.</w:t>
      </w:r>
    </w:p>
    <w:p>
      <w:pPr>
        <w:pStyle w:val="ListParagraph"/>
        <w:numPr>
          <w:ilvl w:val="0"/>
          <w:numId w:val="3"/>
        </w:numPr>
        <w:spacing w:after="80"/>
      </w:pPr>
      <w:r>
        <w:rPr>
          <w:rFonts w:ascii="Calibri" w:cs="Calibri" w:eastAsia="Calibri" w:hAnsi="Calibri"/>
          <w:b/>
          <w:bCs/>
          <w:sz w:val="23"/>
          <w:szCs w:val="23"/>
        </w:rPr>
        <w:t xml:space="preserve">The "70% of households" claim:</w:t>
      </w:r>
      <w:r>
        <w:rPr>
          <w:rFonts w:ascii="Calibri" w:cs="Calibri" w:eastAsia="Calibri" w:hAnsi="Calibri"/>
          <w:sz w:val="23"/>
          <w:szCs w:val="23"/>
        </w:rPr>
        <w:t xml:space="preserve"> This is Marc's characterization of the Treasury results [UNVERIFIED].</w:t>
      </w:r>
    </w:p>
    <w:p>
      <w:pPr>
        <w:pStyle w:val="ListParagraph"/>
        <w:numPr>
          <w:ilvl w:val="0"/>
          <w:numId w:val="3"/>
        </w:numPr>
        <w:spacing w:after="80"/>
      </w:pPr>
      <w:r>
        <w:rPr>
          <w:rFonts w:ascii="Calibri" w:cs="Calibri" w:eastAsia="Calibri" w:hAnsi="Calibri"/>
          <w:b/>
          <w:bCs/>
          <w:sz w:val="23"/>
          <w:szCs w:val="23"/>
        </w:rPr>
        <w:t xml:space="preserve">Speaker labels:</w:t>
      </w:r>
      <w:r>
        <w:rPr>
          <w:rFonts w:ascii="Calibri" w:cs="Calibri" w:eastAsia="Calibri" w:hAnsi="Calibri"/>
          <w:sz w:val="23"/>
          <w:szCs w:val="23"/>
        </w:rPr>
        <w:t xml:space="preserve"> These are inferred. The closing outro is unattributed and is labeled as a CCL podcast announcement.</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Calibri" w:cs="Calibri" w:eastAsia="Calibri" w:hAnsi="Calibri"/>
      <w:b/>
      <w:bCs/>
      <w:sz w:val="40"/>
      <w:szCs w:val="40"/>
    </w:rPr>
  </w:style>
  <w:style w:type="paragraph" w:styleId="Heading1">
    <w:name w:val="Heading 1"/>
    <w:basedOn w:val="Normal"/>
    <w:next w:val="Normal"/>
    <w:qFormat/>
    <w:pPr>
      <w:spacing w:after="160" w:before="360"/>
      <w:outlineLvl w:val="0"/>
    </w:pPr>
    <w:rPr>
      <w:rFonts w:ascii="Calibri" w:cs="Calibri" w:eastAsia="Calibri" w:hAnsi="Calibri"/>
      <w:b/>
      <w:bCs/>
      <w:color w:val="1F3864"/>
      <w:sz w:val="30"/>
      <w:szCs w:val="30"/>
    </w:rPr>
  </w:style>
  <w:style w:type="paragraph" w:styleId="Heading2">
    <w:name w:val="Heading 2"/>
    <w:basedOn w:val="Normal"/>
    <w:next w:val="Normal"/>
    <w:qFormat/>
    <w:pPr>
      <w:spacing w:after="120" w:before="280"/>
      <w:outlineLvl w:val="1"/>
    </w:pPr>
    <w:rPr>
      <w:rFonts w:ascii="Calibri" w:cs="Calibri" w:eastAsia="Calibri" w:hAnsi="Calibri"/>
      <w:b/>
      <w:bCs/>
      <w:color w:val="2F5496"/>
      <w:sz w:val="26"/>
      <w:szCs w:val="26"/>
    </w:rPr>
  </w:style>
  <w:style w:type="character" w:styleId="Hyperlink">
    <w:name w:val="Hyperlink"/>
    <w:basedOn w:val="DefaultParagraphFont"/>
    <w:uiPriority w:val="99"/>
    <w:unhideWhenUsed/>
    <w:rPr>
      <w:color w:val="0563C1"/>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d4jq-zsgorju5pwhyct" Type="http://schemas.openxmlformats.org/officeDocument/2006/relationships/hyperlink" Target="https://www.rff.org" TargetMode="External"/><Relationship Id="rId2ipl0lpec9uwwsswerlwt" Type="http://schemas.openxmlformats.org/officeDocument/2006/relationships/hyperlink" Target="https://cclusa.org/info" TargetMode="External"/><Relationship Id="rIdpoznz7bapmy9einse2ouh" Type="http://schemas.openxmlformats.org/officeDocument/2006/relationships/hyperlink" Target="https://www.rff.org" TargetMode="External"/><Relationship Id="rIdweppxu4xgm3dx-iia2gg9" Type="http://schemas.openxmlformats.org/officeDocument/2006/relationships/hyperlink" Target="https://community.citizensclimate.org" TargetMode="External"/><Relationship Id="rIdxna2zqw2oderfdbn8wd1l" Type="http://schemas.openxmlformats.org/officeDocument/2006/relationships/hyperlink" Target="https://cclusa.org/info" TargetMode="External"/><Relationship Id="rIdsji3bwgjo4m3a9vvjjehy" Type="http://schemas.openxmlformats.org/officeDocument/2006/relationships/hyperlink" Target="https://www.rff.org" TargetMode="External"/><Relationship Id="rIdeigq3fqjw6zfn5nr6h2xo" Type="http://schemas.openxmlformats.org/officeDocument/2006/relationships/hyperlink" Target="https://community.citizensclimate.org"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Pricing 201: Affordability and Distributional Impacts</dc:title>
  <dc:creator>Wayne Willis</dc:creator>
  <cp:lastModifiedBy>Un-named</cp:lastModifiedBy>
  <cp:revision>1</cp:revision>
  <dcterms:created xsi:type="dcterms:W3CDTF">2026-10-03T16:13:19.168Z</dcterms:created>
  <dcterms:modified xsi:type="dcterms:W3CDTF">2026-10-03T16:13:19.168Z</dcterms:modified>
</cp:coreProperties>
</file>

<file path=docProps/custom.xml><?xml version="1.0" encoding="utf-8"?>
<Properties xmlns="http://schemas.openxmlformats.org/officeDocument/2006/custom-properties" xmlns:vt="http://schemas.openxmlformats.org/officeDocument/2006/docPropsVTypes"/>
</file>