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71965" w14:textId="77777777" w:rsidR="00082F64" w:rsidRDefault="00000000">
      <w:pPr>
        <w:pStyle w:val="Title"/>
      </w:pPr>
      <w:r>
        <w:t>Carbon Pricing 201: Affordability and Distributional Impacts</w:t>
      </w:r>
    </w:p>
    <w:p w14:paraId="46A620F7" w14:textId="77777777" w:rsidR="00082F64" w:rsidRDefault="00000000">
      <w:pPr>
        <w:spacing w:after="160"/>
      </w:pPr>
      <w:r>
        <w:rPr>
          <w:i/>
          <w:iCs/>
        </w:rPr>
        <w:t>Final Summary | CCL Carbon Pricing Education Series, Session 2 of 6 | October 1, 2026 | Speaker: Marc Hafstead, Resources for the Future (RFF) | Host: Mindy Ahler, CCL</w:t>
      </w:r>
    </w:p>
    <w:p w14:paraId="624AEE21" w14:textId="77777777" w:rsidR="00082F64" w:rsidRDefault="00000000">
      <w:pPr>
        <w:pStyle w:val="Heading1"/>
      </w:pPr>
      <w:r>
        <w:t>Series Overview</w:t>
      </w:r>
    </w:p>
    <w:p w14:paraId="6F9E5D19" w14:textId="77777777" w:rsidR="00082F64" w:rsidRDefault="00000000">
      <w:pPr>
        <w:pStyle w:val="ListParagraph"/>
        <w:numPr>
          <w:ilvl w:val="0"/>
          <w:numId w:val="2"/>
        </w:numPr>
        <w:spacing w:after="80"/>
      </w:pPr>
      <w:r>
        <w:t>Session 2 of 6 in Citizens' Climate Lobby's Carbon Pricing Education Series, presented in partnership with Resources for the Future (RFF).</w:t>
      </w:r>
    </w:p>
    <w:p w14:paraId="2966849D" w14:textId="77777777" w:rsidR="00082F64" w:rsidRDefault="00000000">
      <w:pPr>
        <w:pStyle w:val="ListParagraph"/>
        <w:numPr>
          <w:ilvl w:val="0"/>
          <w:numId w:val="2"/>
        </w:numPr>
        <w:spacing w:after="80"/>
      </w:pPr>
      <w:r>
        <w:t>Topic: the affordability and distributional impacts of carbon pricing.</w:t>
      </w:r>
    </w:p>
    <w:p w14:paraId="5CFA5087" w14:textId="77777777" w:rsidR="00082F64" w:rsidRDefault="00000000">
      <w:pPr>
        <w:pStyle w:val="ListParagraph"/>
        <w:numPr>
          <w:ilvl w:val="0"/>
          <w:numId w:val="2"/>
        </w:numPr>
        <w:spacing w:after="80"/>
      </w:pPr>
      <w:r>
        <w:t>Presenter: Dr. Marc Hafstead, Director of RFF's Carbon Pricing Initiative (PhD, Stanford; joined RFF in 2013). Host: Mindy Ahler, CCL Congressional Liaison Program Director.</w:t>
      </w:r>
    </w:p>
    <w:p w14:paraId="09F02E8D" w14:textId="77777777" w:rsidR="00082F64" w:rsidRDefault="00000000">
      <w:pPr>
        <w:pStyle w:val="ListParagraph"/>
        <w:numPr>
          <w:ilvl w:val="0"/>
          <w:numId w:val="2"/>
        </w:numPr>
        <w:spacing w:after="80"/>
      </w:pPr>
      <w:r>
        <w:t>Marc spoke for himself, not for RFF. RFF takes no institutional positions on legislative, regulatory, or other policy matters.</w:t>
      </w:r>
    </w:p>
    <w:p w14:paraId="5E369317" w14:textId="77777777" w:rsidR="00082F64" w:rsidRDefault="00000000">
      <w:pPr>
        <w:pStyle w:val="ListParagraph"/>
        <w:numPr>
          <w:ilvl w:val="0"/>
          <w:numId w:val="2"/>
        </w:numPr>
        <w:spacing w:after="80"/>
      </w:pPr>
      <w:r>
        <w:t>Remaining sessions: current policy trends (including CBAMs, intensity standards, and sectors), U.S. state and local developments, and a global look at carbon pricing.</w:t>
      </w:r>
    </w:p>
    <w:p w14:paraId="6EB5B836" w14:textId="77777777" w:rsidR="00082F64" w:rsidRDefault="00000000">
      <w:pPr>
        <w:pStyle w:val="Heading1"/>
      </w:pPr>
      <w:r>
        <w:t>Key Takeaways</w:t>
      </w:r>
    </w:p>
    <w:p w14:paraId="4C68EE2C" w14:textId="77777777" w:rsidR="00082F64" w:rsidRDefault="00000000">
      <w:pPr>
        <w:spacing w:after="160" w:line="276" w:lineRule="auto"/>
      </w:pPr>
      <w:r>
        <w:t>Carbon pricing is not inherently regressive. Use-side impacts (higher prices) are regressive. Source-side impacts (wages, capital returns, and transfers) can offset them. The overall result depends heavily on how revenues are recycled and on whether transfer payments are indexed to inflation. In Marc's view, the argument that carbon pricing is necessarily regressive does not stand up to this evidence.</w:t>
      </w:r>
    </w:p>
    <w:p w14:paraId="7085DFE1" w14:textId="77777777" w:rsidR="00082F64" w:rsidRDefault="00000000">
      <w:pPr>
        <w:spacing w:after="160" w:line="276" w:lineRule="auto"/>
      </w:pPr>
      <w:r>
        <w:t>Affordability is a separate and politically harder problem. Price increases are highly visible, while rebates and dividends are not. Several policy designs can address this, including Virginia's use of RGGI revenue to cut residential electricity rates.</w:t>
      </w:r>
    </w:p>
    <w:p w14:paraId="5AEAA908" w14:textId="77777777" w:rsidR="00082F64" w:rsidRDefault="00000000">
      <w:pPr>
        <w:pStyle w:val="Heading1"/>
      </w:pPr>
      <w:r>
        <w:t>Key Definitions</w:t>
      </w:r>
    </w:p>
    <w:p w14:paraId="77638021" w14:textId="77777777" w:rsidR="00082F64" w:rsidRDefault="00000000">
      <w:pPr>
        <w:pStyle w:val="ListParagraph"/>
        <w:numPr>
          <w:ilvl w:val="0"/>
          <w:numId w:val="2"/>
        </w:numPr>
        <w:spacing w:after="80"/>
      </w:pPr>
      <w:r>
        <w:rPr>
          <w:b/>
          <w:bCs/>
        </w:rPr>
        <w:t>Distributional impacts:</w:t>
      </w:r>
      <w:r>
        <w:t xml:space="preserve"> the allocation of a policy's costs across income groups and industries. Marc focuses on costs and relative impacts, not benefits.</w:t>
      </w:r>
    </w:p>
    <w:p w14:paraId="3F37653A" w14:textId="77777777" w:rsidR="00082F64" w:rsidRDefault="00000000">
      <w:pPr>
        <w:pStyle w:val="ListParagraph"/>
        <w:numPr>
          <w:ilvl w:val="1"/>
          <w:numId w:val="2"/>
        </w:numPr>
        <w:spacing w:after="60"/>
      </w:pPr>
      <w:r>
        <w:rPr>
          <w:b/>
          <w:bCs/>
        </w:rPr>
        <w:t>Progressive:</w:t>
      </w:r>
      <w:r>
        <w:t xml:space="preserve"> the relative burden is smaller for low-income and middle-income households.</w:t>
      </w:r>
    </w:p>
    <w:p w14:paraId="4B3349D8" w14:textId="77777777" w:rsidR="00082F64" w:rsidRDefault="00000000">
      <w:pPr>
        <w:pStyle w:val="ListParagraph"/>
        <w:numPr>
          <w:ilvl w:val="1"/>
          <w:numId w:val="2"/>
        </w:numPr>
        <w:spacing w:after="60"/>
      </w:pPr>
      <w:r>
        <w:rPr>
          <w:b/>
          <w:bCs/>
        </w:rPr>
        <w:t>Regressive:</w:t>
      </w:r>
      <w:r>
        <w:t xml:space="preserve"> the relative burden is higher for low-income and middle-income households.</w:t>
      </w:r>
    </w:p>
    <w:p w14:paraId="09A4D344" w14:textId="77777777" w:rsidR="00082F64" w:rsidRDefault="00000000">
      <w:pPr>
        <w:pStyle w:val="ListParagraph"/>
        <w:numPr>
          <w:ilvl w:val="0"/>
          <w:numId w:val="2"/>
        </w:numPr>
        <w:spacing w:after="80"/>
      </w:pPr>
      <w:r>
        <w:rPr>
          <w:b/>
          <w:bCs/>
        </w:rPr>
        <w:t>Use-side impacts:</w:t>
      </w:r>
      <w:r>
        <w:t xml:space="preserve"> changes in household welfare caused by changes in the prices of goods and services, holding income fixed.</w:t>
      </w:r>
    </w:p>
    <w:p w14:paraId="13498B7B" w14:textId="77777777" w:rsidR="00082F64" w:rsidRDefault="00000000">
      <w:pPr>
        <w:pStyle w:val="ListParagraph"/>
        <w:numPr>
          <w:ilvl w:val="0"/>
          <w:numId w:val="2"/>
        </w:numPr>
        <w:spacing w:after="80"/>
      </w:pPr>
      <w:r>
        <w:rPr>
          <w:b/>
          <w:bCs/>
        </w:rPr>
        <w:lastRenderedPageBreak/>
        <w:t>Source-side impacts:</w:t>
      </w:r>
      <w:r>
        <w:t xml:space="preserve"> changes in welfare caused by changes in the value of labor, capital, and transfer income (such as Social Security), holding prices fixed.</w:t>
      </w:r>
    </w:p>
    <w:p w14:paraId="0778B4DF" w14:textId="77777777" w:rsidR="00082F64" w:rsidRDefault="00000000">
      <w:pPr>
        <w:pStyle w:val="ListParagraph"/>
        <w:numPr>
          <w:ilvl w:val="0"/>
          <w:numId w:val="2"/>
        </w:numPr>
        <w:spacing w:after="80"/>
      </w:pPr>
      <w:r>
        <w:rPr>
          <w:b/>
          <w:bCs/>
        </w:rPr>
        <w:t>Net impacts:</w:t>
      </w:r>
      <w:r>
        <w:t xml:space="preserve"> the combined effect of use-side and source-side impacts.</w:t>
      </w:r>
    </w:p>
    <w:p w14:paraId="3CBF718E" w14:textId="77777777" w:rsidR="00082F64" w:rsidRDefault="00000000">
      <w:pPr>
        <w:pStyle w:val="ListParagraph"/>
        <w:numPr>
          <w:ilvl w:val="0"/>
          <w:numId w:val="2"/>
        </w:numPr>
        <w:spacing w:after="80"/>
      </w:pPr>
      <w:r>
        <w:rPr>
          <w:b/>
          <w:bCs/>
        </w:rPr>
        <w:t>Affordability:</w:t>
      </w:r>
      <w:r>
        <w:t xml:space="preserve"> how a policy affects the absolute price of goods and services households buy. It often ignores business costs and pass-through.</w:t>
      </w:r>
    </w:p>
    <w:p w14:paraId="17742450" w14:textId="77777777" w:rsidR="00082F64" w:rsidRDefault="00000000">
      <w:pPr>
        <w:pStyle w:val="Heading1"/>
      </w:pPr>
      <w:r>
        <w:t>Distributional Impacts: Research Findings</w:t>
      </w:r>
    </w:p>
    <w:p w14:paraId="5DA1CEBA" w14:textId="77777777" w:rsidR="00082F64" w:rsidRDefault="00000000">
      <w:pPr>
        <w:pStyle w:val="Heading2"/>
      </w:pPr>
      <w:r>
        <w:t>The overall pattern</w:t>
      </w:r>
    </w:p>
    <w:p w14:paraId="2384A238" w14:textId="77777777" w:rsidR="00082F64" w:rsidRDefault="00000000">
      <w:pPr>
        <w:pStyle w:val="ListParagraph"/>
        <w:numPr>
          <w:ilvl w:val="0"/>
          <w:numId w:val="2"/>
        </w:numPr>
        <w:spacing w:after="80"/>
      </w:pPr>
      <w:r>
        <w:rPr>
          <w:b/>
          <w:bCs/>
        </w:rPr>
        <w:t>Use-side impacts are regressive.</w:t>
      </w:r>
      <w:r>
        <w:t xml:space="preserve"> In the Goulder, </w:t>
      </w:r>
      <w:proofErr w:type="spellStart"/>
      <w:r>
        <w:t>Hafstead</w:t>
      </w:r>
      <w:proofErr w:type="spellEnd"/>
      <w:r>
        <w:t xml:space="preserve">, Kim, and </w:t>
      </w:r>
      <w:proofErr w:type="gramStart"/>
      <w:r>
        <w:t>Long</w:t>
      </w:r>
      <w:proofErr w:type="gramEnd"/>
      <w:r>
        <w:t xml:space="preserve"> analysis, they are regressive under every revenue recycling option. This matches the earliest study (Grainger and Kolstad, 2010).</w:t>
      </w:r>
    </w:p>
    <w:p w14:paraId="3250005B" w14:textId="77777777" w:rsidR="00082F64" w:rsidRDefault="00000000">
      <w:pPr>
        <w:pStyle w:val="ListParagraph"/>
        <w:numPr>
          <w:ilvl w:val="1"/>
          <w:numId w:val="2"/>
        </w:numPr>
        <w:spacing w:after="60"/>
      </w:pPr>
      <w:r>
        <w:t>Lower-income households spend a larger share of income on electricity and natural gas.</w:t>
      </w:r>
    </w:p>
    <w:p w14:paraId="422A7DDF" w14:textId="77777777" w:rsidR="00082F64" w:rsidRDefault="00000000">
      <w:pPr>
        <w:pStyle w:val="ListParagraph"/>
        <w:numPr>
          <w:ilvl w:val="1"/>
          <w:numId w:val="2"/>
        </w:numPr>
        <w:spacing w:after="60"/>
      </w:pPr>
      <w:r>
        <w:t>Motor fuel spending is U-shaped. Quintile 1 spends 3.9% of income and Quintile 3 spends 4.7%, because many Quintile 1 households have no car.</w:t>
      </w:r>
    </w:p>
    <w:p w14:paraId="732BB38B" w14:textId="77777777" w:rsidR="00082F64" w:rsidRDefault="00000000">
      <w:pPr>
        <w:pStyle w:val="ListParagraph"/>
        <w:numPr>
          <w:ilvl w:val="0"/>
          <w:numId w:val="2"/>
        </w:numPr>
        <w:spacing w:after="80"/>
      </w:pPr>
      <w:r>
        <w:rPr>
          <w:b/>
          <w:bCs/>
        </w:rPr>
        <w:t>Source-side impacts are generally progressive.</w:t>
      </w:r>
      <w:r>
        <w:t xml:space="preserve"> Lump-sum dividends produce the strongest progressive effect.</w:t>
      </w:r>
    </w:p>
    <w:p w14:paraId="6E93CC09" w14:textId="77777777" w:rsidR="00082F64" w:rsidRDefault="00000000">
      <w:pPr>
        <w:pStyle w:val="ListParagraph"/>
        <w:numPr>
          <w:ilvl w:val="0"/>
          <w:numId w:val="2"/>
        </w:numPr>
        <w:spacing w:after="80"/>
      </w:pPr>
      <w:r>
        <w:rPr>
          <w:b/>
          <w:bCs/>
        </w:rPr>
        <w:t>Transfer indexing is a critical driver.</w:t>
      </w:r>
      <w:r>
        <w:t xml:space="preserve"> Transfer income is indexed to the CPI and goes mostly to lower-income households. Without cost-of-living adjustments, only Quintile 1 under lump-sum recycling is better off. Every other case is worse off.</w:t>
      </w:r>
    </w:p>
    <w:p w14:paraId="37076EBB" w14:textId="77777777" w:rsidR="00082F64" w:rsidRDefault="00000000">
      <w:pPr>
        <w:pStyle w:val="ListParagraph"/>
        <w:numPr>
          <w:ilvl w:val="0"/>
          <w:numId w:val="2"/>
        </w:numPr>
        <w:spacing w:after="80"/>
      </w:pPr>
      <w:r>
        <w:rPr>
          <w:b/>
          <w:bCs/>
        </w:rPr>
        <w:t>Revenue use is decisive.</w:t>
      </w:r>
      <w:r>
        <w:t xml:space="preserve"> How the money is recycled largely determines whether the policy is progressive or regressive.</w:t>
      </w:r>
    </w:p>
    <w:p w14:paraId="332FC058" w14:textId="77777777" w:rsidR="00082F64" w:rsidRDefault="00000000">
      <w:pPr>
        <w:pStyle w:val="Heading2"/>
      </w:pPr>
      <w:r>
        <w:t>Key studies</w:t>
      </w:r>
    </w:p>
    <w:p w14:paraId="49F2C397" w14:textId="77777777" w:rsidR="00082F64" w:rsidRDefault="00000000">
      <w:pPr>
        <w:pStyle w:val="ListParagraph"/>
        <w:numPr>
          <w:ilvl w:val="0"/>
          <w:numId w:val="2"/>
        </w:numPr>
        <w:spacing w:after="80"/>
      </w:pPr>
      <w:r>
        <w:rPr>
          <w:b/>
          <w:bCs/>
        </w:rPr>
        <w:t>Horowitz et al. (2017, U.S. Treasury):</w:t>
      </w:r>
      <w:r>
        <w:t xml:space="preserve"> Ignoring revenue recycling, the policy is roughly proportional, with after-tax income falling 0.8% to 1.5% across deciles. With a per-person rebate at $49 per metric ton, the average household in deciles 1 through 7 is better off. One interpretation is that about 70% of U.S. households come out ahead.</w:t>
      </w:r>
    </w:p>
    <w:p w14:paraId="0146469C" w14:textId="77777777" w:rsidR="00082F64" w:rsidRDefault="00000000">
      <w:pPr>
        <w:pStyle w:val="ListParagraph"/>
        <w:numPr>
          <w:ilvl w:val="0"/>
          <w:numId w:val="2"/>
        </w:numPr>
        <w:spacing w:after="80"/>
      </w:pPr>
      <w:r>
        <w:rPr>
          <w:b/>
          <w:bCs/>
        </w:rPr>
        <w:t>Cronin, Fullerton, and Sexton (2019):</w:t>
      </w:r>
      <w:r>
        <w:t xml:space="preserve"> Significant heterogeneity exists within deciles. Households in deciles 1 through 4 are better off under lump-sum rebating. In deciles 5 through 7, the average household is better off but a large share </w:t>
      </w:r>
      <w:proofErr w:type="gramStart"/>
      <w:r>
        <w:t>are</w:t>
      </w:r>
      <w:proofErr w:type="gramEnd"/>
      <w:r>
        <w:t xml:space="preserve"> worse off. Combining the tax with transfers, the Earned Income Tax Credit, or payroll tax rebates narrows but does not eliminate the spread.</w:t>
      </w:r>
    </w:p>
    <w:p w14:paraId="000F7E7B" w14:textId="15DDD6DD" w:rsidR="00082F64" w:rsidRDefault="00000000">
      <w:pPr>
        <w:pStyle w:val="ListParagraph"/>
        <w:numPr>
          <w:ilvl w:val="0"/>
          <w:numId w:val="2"/>
        </w:numPr>
        <w:spacing w:after="80"/>
      </w:pPr>
      <w:r w:rsidRPr="007D730A">
        <w:rPr>
          <w:b/>
          <w:bCs/>
        </w:rPr>
        <w:t xml:space="preserve">Goulder, </w:t>
      </w:r>
      <w:proofErr w:type="spellStart"/>
      <w:r w:rsidRPr="007D730A">
        <w:rPr>
          <w:b/>
          <w:bCs/>
        </w:rPr>
        <w:t>Hafstead</w:t>
      </w:r>
      <w:proofErr w:type="spellEnd"/>
      <w:r w:rsidRPr="007D730A">
        <w:rPr>
          <w:b/>
          <w:bCs/>
        </w:rPr>
        <w:t>, Kim, and Long (2019, Journal of Public Economics, Atkinson Award winner):</w:t>
      </w:r>
      <w:r>
        <w:t xml:space="preserve"> Carbon pricing is weakly progressive under all revenue recycling options. Quintiles 1 and 2 are better off under lump-sum recycling. Quintile 1 is also better off when revenue cuts payroll or individual income taxes. Quintile 3 is slightly worse off under all policies.</w:t>
      </w:r>
    </w:p>
    <w:p w14:paraId="6D73E3D0" w14:textId="77777777" w:rsidR="00082F64" w:rsidRDefault="00000000" w:rsidP="007D730A">
      <w:pPr>
        <w:pStyle w:val="Heading2"/>
        <w:keepNext/>
      </w:pPr>
      <w:r>
        <w:lastRenderedPageBreak/>
        <w:t>Caveats</w:t>
      </w:r>
    </w:p>
    <w:p w14:paraId="11F79192" w14:textId="77777777" w:rsidR="00082F64" w:rsidRDefault="00000000">
      <w:pPr>
        <w:pStyle w:val="ListParagraph"/>
        <w:numPr>
          <w:ilvl w:val="0"/>
          <w:numId w:val="2"/>
        </w:numPr>
        <w:spacing w:after="80"/>
      </w:pPr>
      <w:r>
        <w:t>The Goulder et al. analysis covers income groups only. It does not cover states, urban versus rural groups, or historically overburdened communities.</w:t>
      </w:r>
    </w:p>
    <w:p w14:paraId="619843C3" w14:textId="77777777" w:rsidR="00082F64" w:rsidRDefault="00000000">
      <w:pPr>
        <w:pStyle w:val="ListParagraph"/>
        <w:numPr>
          <w:ilvl w:val="0"/>
          <w:numId w:val="2"/>
        </w:numPr>
        <w:spacing w:after="80"/>
      </w:pPr>
      <w:r>
        <w:t>It uses the Survey of Consumer Finances (about 5,000 households), so it cannot show variation within quintiles.</w:t>
      </w:r>
    </w:p>
    <w:p w14:paraId="296C72BF" w14:textId="77777777" w:rsidR="00082F64" w:rsidRDefault="00000000">
      <w:pPr>
        <w:pStyle w:val="ListParagraph"/>
        <w:numPr>
          <w:ilvl w:val="0"/>
          <w:numId w:val="2"/>
        </w:numPr>
        <w:spacing w:after="80"/>
      </w:pPr>
      <w:r>
        <w:t>It measures costs only. Regionally specific co-benefits, such as cleaner air, are not included.</w:t>
      </w:r>
    </w:p>
    <w:p w14:paraId="407ADA3C" w14:textId="77777777" w:rsidR="00082F64" w:rsidRDefault="00000000">
      <w:pPr>
        <w:pStyle w:val="Heading1"/>
      </w:pPr>
      <w:r>
        <w:t>Price Impacts on Consumer Goods</w:t>
      </w:r>
    </w:p>
    <w:p w14:paraId="44130943" w14:textId="77777777" w:rsidR="00082F64" w:rsidRDefault="00000000">
      <w:pPr>
        <w:pStyle w:val="ListParagraph"/>
        <w:numPr>
          <w:ilvl w:val="0"/>
          <w:numId w:val="2"/>
        </w:numPr>
        <w:spacing w:after="80"/>
      </w:pPr>
      <w:r>
        <w:t>The modeled carbon price starts at $40 in 2020, rises to about $54 in 2035, and reaches about $70 in 2050 (2013 dollars).</w:t>
      </w:r>
    </w:p>
    <w:p w14:paraId="29572489" w14:textId="77777777" w:rsidR="00082F64" w:rsidRDefault="00000000">
      <w:pPr>
        <w:pStyle w:val="ListParagraph"/>
        <w:numPr>
          <w:ilvl w:val="0"/>
          <w:numId w:val="2"/>
        </w:numPr>
        <w:spacing w:after="80"/>
      </w:pPr>
      <w:r>
        <w:t>The largest price increases are in motor vehicle fuels, fuel oil, electricity, and natural gas.</w:t>
      </w:r>
    </w:p>
    <w:p w14:paraId="0F216367" w14:textId="77777777" w:rsidR="00082F64" w:rsidRDefault="00000000">
      <w:pPr>
        <w:pStyle w:val="ListParagraph"/>
        <w:numPr>
          <w:ilvl w:val="0"/>
          <w:numId w:val="2"/>
        </w:numPr>
        <w:spacing w:after="80"/>
      </w:pPr>
      <w:r>
        <w:t>The CPI rises only about 1% relative to baseline by 2035. Annualized, that is less than a 0.1 percentage point increase in the inflation rate.</w:t>
      </w:r>
    </w:p>
    <w:p w14:paraId="0EEF32C6" w14:textId="77777777" w:rsidR="00082F64" w:rsidRDefault="00000000">
      <w:pPr>
        <w:pStyle w:val="ListParagraph"/>
        <w:numPr>
          <w:ilvl w:val="0"/>
          <w:numId w:val="2"/>
        </w:numPr>
        <w:spacing w:after="80"/>
      </w:pPr>
      <w:r>
        <w:t>The prices of many goods fall relative to the average, including healthcare, education, and communication.</w:t>
      </w:r>
    </w:p>
    <w:p w14:paraId="097B8CEE" w14:textId="77777777" w:rsidR="00082F64" w:rsidRDefault="00000000">
      <w:pPr>
        <w:pStyle w:val="Heading1"/>
      </w:pPr>
      <w:r>
        <w:t>Affordability and Political Salience</w:t>
      </w:r>
    </w:p>
    <w:p w14:paraId="63DA465F" w14:textId="77777777" w:rsidR="00082F64" w:rsidRDefault="00000000">
      <w:pPr>
        <w:pStyle w:val="ListParagraph"/>
        <w:numPr>
          <w:ilvl w:val="0"/>
          <w:numId w:val="2"/>
        </w:numPr>
        <w:spacing w:after="80"/>
      </w:pPr>
      <w:r>
        <w:rPr>
          <w:b/>
          <w:bCs/>
        </w:rPr>
        <w:t>The economic argument:</w:t>
      </w:r>
      <w:r>
        <w:t xml:space="preserve"> Carbon pricing is the affordable climate policy. Every ton reduced by a price is a ton that does not need a more expensive regulation.</w:t>
      </w:r>
    </w:p>
    <w:p w14:paraId="47CAA864" w14:textId="77777777" w:rsidR="00082F64" w:rsidRDefault="00000000">
      <w:pPr>
        <w:pStyle w:val="ListParagraph"/>
        <w:numPr>
          <w:ilvl w:val="0"/>
          <w:numId w:val="2"/>
        </w:numPr>
        <w:spacing w:after="80"/>
      </w:pPr>
      <w:r>
        <w:rPr>
          <w:b/>
          <w:bCs/>
        </w:rPr>
        <w:t>Why it still polls badly:</w:t>
      </w:r>
      <w:r>
        <w:t xml:space="preserve"> People dislike price increases whatever the reason. Examples include France's yellow vest movement, fuel subsidy reforms in South America, and European farmers protesting diesel costs.</w:t>
      </w:r>
    </w:p>
    <w:p w14:paraId="44AAE429" w14:textId="77777777" w:rsidR="00082F64" w:rsidRDefault="00000000">
      <w:pPr>
        <w:pStyle w:val="ListParagraph"/>
        <w:numPr>
          <w:ilvl w:val="0"/>
          <w:numId w:val="2"/>
        </w:numPr>
        <w:spacing w:after="80"/>
      </w:pPr>
      <w:r>
        <w:rPr>
          <w:b/>
          <w:bCs/>
        </w:rPr>
        <w:t>Loss aversion:</w:t>
      </w:r>
      <w:r>
        <w:t xml:space="preserve"> Price increases are salient, while rebates and tax reductions are less noticeable or confusing.</w:t>
      </w:r>
    </w:p>
    <w:p w14:paraId="6AFFDEF2" w14:textId="77777777" w:rsidR="00082F64" w:rsidRDefault="00000000">
      <w:pPr>
        <w:pStyle w:val="ListParagraph"/>
        <w:numPr>
          <w:ilvl w:val="1"/>
          <w:numId w:val="2"/>
        </w:numPr>
        <w:spacing w:after="60"/>
      </w:pPr>
      <w:r>
        <w:t>Canada's tax-and-dividend paid once a year and appeared as a confusing line item on bank statements.</w:t>
      </w:r>
    </w:p>
    <w:p w14:paraId="7518D2E3" w14:textId="77777777" w:rsidR="00082F64" w:rsidRDefault="00000000">
      <w:pPr>
        <w:pStyle w:val="ListParagraph"/>
        <w:numPr>
          <w:ilvl w:val="1"/>
          <w:numId w:val="2"/>
        </w:numPr>
        <w:spacing w:after="60"/>
      </w:pPr>
      <w:r>
        <w:t>California's rebates arrive every six months, and most households do not link them to the cap-and-trade program.</w:t>
      </w:r>
    </w:p>
    <w:p w14:paraId="545F3ABC" w14:textId="77777777" w:rsidR="00082F64" w:rsidRDefault="00000000">
      <w:pPr>
        <w:pStyle w:val="ListParagraph"/>
        <w:numPr>
          <w:ilvl w:val="1"/>
          <w:numId w:val="2"/>
        </w:numPr>
        <w:spacing w:after="60"/>
      </w:pPr>
      <w:r>
        <w:t>Using revenue to cut other taxes is likely even less noticeable.</w:t>
      </w:r>
    </w:p>
    <w:p w14:paraId="645D2A44" w14:textId="77777777" w:rsidR="00082F64" w:rsidRDefault="00000000">
      <w:pPr>
        <w:pStyle w:val="Heading1"/>
      </w:pPr>
      <w:r>
        <w:t>Strategies to Improve Affordability</w:t>
      </w:r>
    </w:p>
    <w:p w14:paraId="652B6916" w14:textId="77777777" w:rsidR="00082F64" w:rsidRDefault="00000000">
      <w:pPr>
        <w:pStyle w:val="ListParagraph"/>
        <w:numPr>
          <w:ilvl w:val="0"/>
          <w:numId w:val="2"/>
        </w:numPr>
        <w:spacing w:after="80"/>
      </w:pPr>
      <w:r>
        <w:rPr>
          <w:b/>
          <w:bCs/>
        </w:rPr>
        <w:t>Exempt politically sensitive fuels or sectors.</w:t>
      </w:r>
      <w:r>
        <w:t xml:space="preserve"> Canada repealed its consumer-facing carbon price but kept industrial pricing.</w:t>
      </w:r>
    </w:p>
    <w:p w14:paraId="4D6B70E5" w14:textId="77777777" w:rsidR="00082F64" w:rsidRDefault="00000000">
      <w:pPr>
        <w:pStyle w:val="ListParagraph"/>
        <w:numPr>
          <w:ilvl w:val="0"/>
          <w:numId w:val="2"/>
        </w:numPr>
        <w:spacing w:after="80"/>
      </w:pPr>
      <w:r>
        <w:rPr>
          <w:b/>
          <w:bCs/>
        </w:rPr>
        <w:t>Offset consumer price increases with tax repeal.</w:t>
      </w:r>
      <w:r>
        <w:t xml:space="preserve"> The Market Choice Act would repeal the federal gasoline tax, largely offsetting the effect on gasoline prices in early years.</w:t>
      </w:r>
    </w:p>
    <w:p w14:paraId="2DD6DD5B" w14:textId="77777777" w:rsidR="00082F64" w:rsidRDefault="00000000">
      <w:pPr>
        <w:pStyle w:val="ListParagraph"/>
        <w:numPr>
          <w:ilvl w:val="0"/>
          <w:numId w:val="2"/>
        </w:numPr>
        <w:spacing w:after="80"/>
      </w:pPr>
      <w:r>
        <w:rPr>
          <w:b/>
          <w:bCs/>
        </w:rPr>
        <w:t>Subsidize residential bills directly.</w:t>
      </w:r>
      <w:r>
        <w:t xml:space="preserve"> Virginia uses RGGI revenue to cut residential electricity rates.</w:t>
      </w:r>
    </w:p>
    <w:p w14:paraId="26F6AF92" w14:textId="77777777" w:rsidR="00082F64" w:rsidRDefault="00000000">
      <w:pPr>
        <w:pStyle w:val="ListParagraph"/>
        <w:numPr>
          <w:ilvl w:val="0"/>
          <w:numId w:val="2"/>
        </w:numPr>
        <w:spacing w:after="80"/>
      </w:pPr>
      <w:r>
        <w:rPr>
          <w:b/>
          <w:bCs/>
        </w:rPr>
        <w:lastRenderedPageBreak/>
        <w:t>Encourage electrification.</w:t>
      </w:r>
      <w:r>
        <w:t xml:space="preserve"> Lower household electricity prices support EV and heat pump adoption. Marc noted that households respond little to price changes, so the lost price signal is small, especially for electricity.</w:t>
      </w:r>
    </w:p>
    <w:p w14:paraId="60BA40C4" w14:textId="77777777" w:rsidR="00082F64" w:rsidRDefault="00000000">
      <w:pPr>
        <w:pStyle w:val="ListParagraph"/>
        <w:numPr>
          <w:ilvl w:val="0"/>
          <w:numId w:val="2"/>
        </w:numPr>
        <w:spacing w:after="80"/>
      </w:pPr>
      <w:r>
        <w:rPr>
          <w:b/>
          <w:bCs/>
        </w:rPr>
        <w:t>Federal version:</w:t>
      </w:r>
      <w:r>
        <w:t xml:space="preserve"> Place a carbon fee on a fuel used by a wide range of users, then use the revenue to subsidize a subset of consumer-facing users.</w:t>
      </w:r>
    </w:p>
    <w:p w14:paraId="6453790A" w14:textId="77777777" w:rsidR="00082F64" w:rsidRDefault="00000000">
      <w:pPr>
        <w:pStyle w:val="Heading1"/>
      </w:pPr>
      <w:r>
        <w:t>Virginia RGGI Case Study</w:t>
      </w:r>
    </w:p>
    <w:p w14:paraId="71576CAA" w14:textId="77777777" w:rsidR="00082F64" w:rsidRDefault="00000000">
      <w:pPr>
        <w:pStyle w:val="ListParagraph"/>
        <w:numPr>
          <w:ilvl w:val="0"/>
          <w:numId w:val="2"/>
        </w:numPr>
        <w:spacing w:after="80"/>
      </w:pPr>
      <w:r>
        <w:t>Virginia rejoined RGGI this year and is using allowance revenue to directly reduce residential electricity rates.</w:t>
      </w:r>
    </w:p>
    <w:p w14:paraId="41F0B583" w14:textId="77777777" w:rsidR="00082F64" w:rsidRDefault="00000000">
      <w:pPr>
        <w:pStyle w:val="ListParagraph"/>
        <w:numPr>
          <w:ilvl w:val="0"/>
          <w:numId w:val="2"/>
        </w:numPr>
        <w:spacing w:after="80"/>
      </w:pPr>
      <w:r>
        <w:t>At a $35 per short ton allowance price:</w:t>
      </w:r>
    </w:p>
    <w:p w14:paraId="4A7030E4" w14:textId="77777777" w:rsidR="00082F64" w:rsidRDefault="00000000">
      <w:pPr>
        <w:pStyle w:val="ListParagraph"/>
        <w:numPr>
          <w:ilvl w:val="1"/>
          <w:numId w:val="2"/>
        </w:numPr>
        <w:spacing w:after="60"/>
      </w:pPr>
      <w:r>
        <w:t>The carbon cost raises electricity prices about 6.6%.</w:t>
      </w:r>
    </w:p>
    <w:p w14:paraId="4D106D8C" w14:textId="77777777" w:rsidR="00082F64" w:rsidRDefault="00000000">
      <w:pPr>
        <w:pStyle w:val="ListParagraph"/>
        <w:numPr>
          <w:ilvl w:val="1"/>
          <w:numId w:val="2"/>
        </w:numPr>
        <w:spacing w:after="60"/>
      </w:pPr>
      <w:r>
        <w:t>The revenue rebate cuts residential prices about 14.2%.</w:t>
      </w:r>
    </w:p>
    <w:p w14:paraId="0A478215" w14:textId="77777777" w:rsidR="00082F64" w:rsidRDefault="00000000">
      <w:pPr>
        <w:pStyle w:val="ListParagraph"/>
        <w:numPr>
          <w:ilvl w:val="1"/>
          <w:numId w:val="2"/>
        </w:numPr>
        <w:spacing w:after="60"/>
      </w:pPr>
      <w:r>
        <w:t>The net result is about a 7.6% reduction in residential electricity prices.</w:t>
      </w:r>
    </w:p>
    <w:p w14:paraId="74561A85" w14:textId="77777777" w:rsidR="00082F64" w:rsidRDefault="00000000">
      <w:pPr>
        <w:pStyle w:val="ListParagraph"/>
        <w:numPr>
          <w:ilvl w:val="0"/>
          <w:numId w:val="2"/>
        </w:numPr>
        <w:spacing w:after="80"/>
      </w:pPr>
      <w:r>
        <w:t>An RFF analysis put the savings at about 8%, or $12 per month for the typical household. The RFF data tool shows roughly $150 per household per year.</w:t>
      </w:r>
    </w:p>
    <w:p w14:paraId="264457AE" w14:textId="77777777" w:rsidR="00082F64" w:rsidRDefault="00000000">
      <w:pPr>
        <w:pStyle w:val="ListParagraph"/>
        <w:numPr>
          <w:ilvl w:val="0"/>
          <w:numId w:val="2"/>
        </w:numPr>
        <w:spacing w:after="80"/>
      </w:pPr>
      <w:r>
        <w:rPr>
          <w:b/>
          <w:bCs/>
        </w:rPr>
        <w:t>Key mechanism:</w:t>
      </w:r>
      <w:r>
        <w:t xml:space="preserve"> Commercial and industrial users, especially data centers, also pay into the system. The revenue is directed only to residential customers.</w:t>
      </w:r>
    </w:p>
    <w:p w14:paraId="26E46F53" w14:textId="77777777" w:rsidR="00082F64" w:rsidRDefault="00000000">
      <w:pPr>
        <w:pStyle w:val="ListParagraph"/>
        <w:numPr>
          <w:ilvl w:val="0"/>
          <w:numId w:val="2"/>
        </w:numPr>
        <w:spacing w:after="80"/>
      </w:pPr>
      <w:r>
        <w:t>The benefit grows as the allowance price rises.</w:t>
      </w:r>
    </w:p>
    <w:p w14:paraId="248F9713" w14:textId="77777777" w:rsidR="00082F64" w:rsidRDefault="00000000">
      <w:pPr>
        <w:pStyle w:val="Heading1"/>
      </w:pPr>
      <w:r>
        <w:t>RFF Data Tools</w:t>
      </w:r>
    </w:p>
    <w:p w14:paraId="33A3782A" w14:textId="77777777" w:rsidR="00082F64" w:rsidRDefault="00000000">
      <w:pPr>
        <w:pStyle w:val="ListParagraph"/>
        <w:numPr>
          <w:ilvl w:val="0"/>
          <w:numId w:val="2"/>
        </w:numPr>
        <w:spacing w:after="80"/>
      </w:pPr>
      <w:r>
        <w:rPr>
          <w:b/>
          <w:bCs/>
        </w:rPr>
        <w:t>Virginia RGGI and Affordability Data Tool:</w:t>
      </w:r>
      <w:r>
        <w:t xml:space="preserve"> shows the net electricity price effect under different allowance prices, load growth, and gas generation assumptions.</w:t>
      </w:r>
    </w:p>
    <w:p w14:paraId="2145A8F1" w14:textId="77777777" w:rsidR="00082F64" w:rsidRDefault="00000000">
      <w:pPr>
        <w:pStyle w:val="ListParagraph"/>
        <w:numPr>
          <w:ilvl w:val="0"/>
          <w:numId w:val="2"/>
        </w:numPr>
        <w:spacing w:after="80"/>
      </w:pPr>
      <w:r>
        <w:rPr>
          <w:b/>
          <w:bCs/>
        </w:rPr>
        <w:t>Carbon Pricing Calculator:</w:t>
      </w:r>
      <w:r>
        <w:t xml:space="preserve"> shows consumer price impacts by fuel in 2030, national and state-level effects by income quintile and urban-rural split, and average effects by state.</w:t>
      </w:r>
    </w:p>
    <w:p w14:paraId="086EFC8C" w14:textId="77777777" w:rsidR="00082F64" w:rsidRDefault="00000000">
      <w:pPr>
        <w:pStyle w:val="ListParagraph"/>
        <w:numPr>
          <w:ilvl w:val="1"/>
          <w:numId w:val="2"/>
        </w:numPr>
        <w:spacing w:after="60"/>
      </w:pPr>
      <w:r>
        <w:t>It covers previously proposed bills: the Energy Innovation and Carbon Dividend Act, the Stemming Warming and Augmenting Pay Act, and the Market Choice Act.</w:t>
      </w:r>
    </w:p>
    <w:p w14:paraId="24DB35EB" w14:textId="77777777" w:rsidR="00082F64" w:rsidRDefault="00000000">
      <w:pPr>
        <w:pStyle w:val="ListParagraph"/>
        <w:numPr>
          <w:ilvl w:val="1"/>
          <w:numId w:val="2"/>
        </w:numPr>
        <w:spacing w:after="60"/>
      </w:pPr>
      <w:r>
        <w:t>Rural households come out better off under the Market Choice Act because gasoline prices rise less.</w:t>
      </w:r>
    </w:p>
    <w:p w14:paraId="08B02E8C" w14:textId="77777777" w:rsidR="00082F64" w:rsidRDefault="00000000">
      <w:pPr>
        <w:pStyle w:val="Heading1"/>
      </w:pPr>
      <w:r>
        <w:t>Q&amp;A Highlights</w:t>
      </w:r>
    </w:p>
    <w:p w14:paraId="69F670D9" w14:textId="77777777" w:rsidR="00082F64" w:rsidRDefault="00000000">
      <w:pPr>
        <w:pStyle w:val="ListParagraph"/>
        <w:numPr>
          <w:ilvl w:val="0"/>
          <w:numId w:val="2"/>
        </w:numPr>
        <w:spacing w:after="80"/>
      </w:pPr>
      <w:r>
        <w:rPr>
          <w:b/>
          <w:bCs/>
        </w:rPr>
        <w:t>Geopolitical price shocks:</w:t>
      </w:r>
      <w:r>
        <w:t xml:space="preserve"> Conflicts involving Iran and Ukraine raised gasoline prices about 40% in six weeks, yet driving fell only 8% to 10%. Liquid fuel use is not highly price-elastic. These shocks have not moved coal or domestic natural gas prices, so they are only a partial guide to a carbon price.</w:t>
      </w:r>
    </w:p>
    <w:p w14:paraId="2E541351" w14:textId="77777777" w:rsidR="00082F64" w:rsidRDefault="00000000">
      <w:pPr>
        <w:pStyle w:val="ListParagraph"/>
        <w:numPr>
          <w:ilvl w:val="0"/>
          <w:numId w:val="2"/>
        </w:numPr>
        <w:spacing w:after="80"/>
      </w:pPr>
      <w:r>
        <w:rPr>
          <w:b/>
          <w:bCs/>
        </w:rPr>
        <w:t>Health co-benefits and fuel savings:</w:t>
      </w:r>
      <w:r>
        <w:t xml:space="preserve"> Most distributional studies account for fuel savings. They generally do not capture the health benefits of reduced pollution, which are highly regional.</w:t>
      </w:r>
    </w:p>
    <w:p w14:paraId="6A75E623" w14:textId="77777777" w:rsidR="00082F64" w:rsidRDefault="00000000">
      <w:pPr>
        <w:pStyle w:val="ListParagraph"/>
        <w:numPr>
          <w:ilvl w:val="0"/>
          <w:numId w:val="2"/>
        </w:numPr>
        <w:spacing w:after="80"/>
      </w:pPr>
      <w:r>
        <w:rPr>
          <w:b/>
          <w:bCs/>
        </w:rPr>
        <w:lastRenderedPageBreak/>
        <w:t>Adaptation barriers:</w:t>
      </w:r>
      <w:r>
        <w:t xml:space="preserve"> Lower-income households face a double whammy. They spend more on energy and lack the upfront capital for EVs, heat pumps, or efficient windows. Marc suggested using some revenue to help them pay for those technologies.</w:t>
      </w:r>
    </w:p>
    <w:p w14:paraId="480AB324" w14:textId="77777777" w:rsidR="00082F64" w:rsidRDefault="00000000">
      <w:pPr>
        <w:pStyle w:val="Heading1"/>
      </w:pPr>
      <w:r>
        <w:t>Next Steps and Reminders</w:t>
      </w:r>
    </w:p>
    <w:p w14:paraId="5D875188" w14:textId="28AAA537" w:rsidR="00082F64" w:rsidRDefault="00000000">
      <w:pPr>
        <w:spacing w:after="160"/>
      </w:pPr>
      <w:r>
        <w:rPr>
          <w:i/>
          <w:iCs/>
        </w:rPr>
        <w:t xml:space="preserve">Drawn from the transcript's closing remarks. </w:t>
      </w:r>
    </w:p>
    <w:p w14:paraId="2B4FA600" w14:textId="77777777" w:rsidR="00082F64" w:rsidRDefault="00000000">
      <w:pPr>
        <w:pStyle w:val="ListParagraph"/>
        <w:numPr>
          <w:ilvl w:val="0"/>
          <w:numId w:val="2"/>
        </w:numPr>
        <w:spacing w:after="80"/>
      </w:pPr>
      <w:r>
        <w:t xml:space="preserve">The CCL Carbon Pricing Action Team feedback session for this call is on </w:t>
      </w:r>
      <w:r>
        <w:rPr>
          <w:b/>
          <w:bCs/>
        </w:rPr>
        <w:t>October 21</w:t>
      </w:r>
      <w:r>
        <w:t>.</w:t>
      </w:r>
    </w:p>
    <w:p w14:paraId="29A00E71" w14:textId="77777777" w:rsidR="00082F64" w:rsidRDefault="00000000">
      <w:pPr>
        <w:pStyle w:val="ListParagraph"/>
        <w:numPr>
          <w:ilvl w:val="0"/>
          <w:numId w:val="2"/>
        </w:numPr>
        <w:spacing w:after="80"/>
      </w:pPr>
      <w:r>
        <w:t xml:space="preserve">The next session in the series is on </w:t>
      </w:r>
      <w:r>
        <w:rPr>
          <w:b/>
          <w:bCs/>
        </w:rPr>
        <w:t>November 5</w:t>
      </w:r>
      <w:r>
        <w:t>: current policy trends, CBAMs, intensity standards, and sectors.</w:t>
      </w:r>
    </w:p>
    <w:p w14:paraId="7C56C09E" w14:textId="77777777" w:rsidR="00082F64" w:rsidRDefault="00000000">
      <w:pPr>
        <w:pStyle w:val="ListParagraph"/>
        <w:numPr>
          <w:ilvl w:val="0"/>
          <w:numId w:val="2"/>
        </w:numPr>
        <w:spacing w:after="80"/>
      </w:pPr>
      <w:r>
        <w:t>The recording, slides, and links will be posted on the CCL Community event page and the Carbon Pricing Series page within a day or two.</w:t>
      </w:r>
    </w:p>
    <w:p w14:paraId="272856C0" w14:textId="77777777" w:rsidR="00082F64" w:rsidRDefault="00000000">
      <w:pPr>
        <w:pStyle w:val="ListParagraph"/>
        <w:numPr>
          <w:ilvl w:val="0"/>
          <w:numId w:val="2"/>
        </w:numPr>
        <w:spacing w:after="80"/>
      </w:pPr>
      <w:r>
        <w:t xml:space="preserve">Learn more about RFF at </w:t>
      </w:r>
      <w:hyperlink r:id="rId7" w:history="1">
        <w:r>
          <w:rPr>
            <w:rStyle w:val="Hyperlink"/>
          </w:rPr>
          <w:t>rff.org</w:t>
        </w:r>
      </w:hyperlink>
      <w:r>
        <w:t xml:space="preserve">. Find CCL trainings and chapters at </w:t>
      </w:r>
      <w:hyperlink r:id="rId8" w:history="1">
        <w:r>
          <w:rPr>
            <w:rStyle w:val="Hyperlink"/>
          </w:rPr>
          <w:t>community.citizensclimate.org</w:t>
        </w:r>
      </w:hyperlink>
      <w:r>
        <w:t>.</w:t>
      </w:r>
    </w:p>
    <w:p w14:paraId="5194C610" w14:textId="77777777" w:rsidR="00082F64" w:rsidRDefault="00000000">
      <w:r>
        <w:br w:type="page"/>
      </w:r>
    </w:p>
    <w:p w14:paraId="537F2423" w14:textId="77777777" w:rsidR="00082F64" w:rsidRDefault="00000000">
      <w:pPr>
        <w:pStyle w:val="Heading1"/>
      </w:pPr>
      <w:r>
        <w:lastRenderedPageBreak/>
        <w:t>Editor's Notes</w:t>
      </w:r>
    </w:p>
    <w:p w14:paraId="4F9A21C3" w14:textId="77777777" w:rsidR="00082F64" w:rsidRDefault="00000000">
      <w:pPr>
        <w:pStyle w:val="Heading2"/>
      </w:pPr>
      <w:r>
        <w:t>How the two summaries were combined</w:t>
      </w:r>
    </w:p>
    <w:p w14:paraId="670E27E1" w14:textId="77777777" w:rsidR="00082F64" w:rsidRDefault="00000000">
      <w:pPr>
        <w:pStyle w:val="ListParagraph"/>
        <w:numPr>
          <w:ilvl w:val="0"/>
          <w:numId w:val="2"/>
        </w:numPr>
        <w:spacing w:after="80"/>
      </w:pPr>
      <w:r>
        <w:t>Summary A (the bulleted outline dated October 1) and Summary B (the notes headed "Wayne Willis's notes") overlapped on definitions, findings, salience, and affordability strategies. Those were merged into single statements.</w:t>
      </w:r>
    </w:p>
    <w:p w14:paraId="251CCE1D" w14:textId="77777777" w:rsidR="00082F64" w:rsidRDefault="00000000">
      <w:pPr>
        <w:pStyle w:val="ListParagraph"/>
        <w:numPr>
          <w:ilvl w:val="0"/>
          <w:numId w:val="2"/>
        </w:numPr>
        <w:spacing w:after="80"/>
      </w:pPr>
      <w:r>
        <w:t>Only Summary A had the series overview, price impacts, Virginia details, and data tools. Only Summary B had the net impact definition, the key outcomes paragraph, and the Q&amp;A highlights. All were kept.</w:t>
      </w:r>
    </w:p>
    <w:p w14:paraId="5D1BED2C" w14:textId="77777777" w:rsidR="00082F64" w:rsidRDefault="00000000">
      <w:pPr>
        <w:pStyle w:val="ListParagraph"/>
        <w:numPr>
          <w:ilvl w:val="0"/>
          <w:numId w:val="2"/>
        </w:numPr>
        <w:spacing w:after="80"/>
      </w:pPr>
      <w:r>
        <w:t>Stray citation marks in Summary B were removed.</w:t>
      </w:r>
    </w:p>
    <w:p w14:paraId="1366AB7F" w14:textId="77777777" w:rsidR="00082F64" w:rsidRDefault="00000000">
      <w:pPr>
        <w:pStyle w:val="Heading2"/>
      </w:pPr>
      <w:r>
        <w:t>Differences reconciled against the transcript</w:t>
      </w:r>
    </w:p>
    <w:p w14:paraId="64CDD9F0" w14:textId="77777777" w:rsidR="00082F64" w:rsidRDefault="00000000">
      <w:pPr>
        <w:pStyle w:val="ListParagraph"/>
        <w:numPr>
          <w:ilvl w:val="0"/>
          <w:numId w:val="2"/>
        </w:numPr>
        <w:spacing w:after="80"/>
      </w:pPr>
      <w:r>
        <w:rPr>
          <w:b/>
          <w:bCs/>
        </w:rPr>
        <w:t>Speaker name:</w:t>
      </w:r>
      <w:r>
        <w:t xml:space="preserve"> "Mark Hafstad" is corrected to Marc Hafstead.</w:t>
      </w:r>
    </w:p>
    <w:p w14:paraId="482EABDF" w14:textId="77777777" w:rsidR="00082F64" w:rsidRDefault="00000000">
      <w:pPr>
        <w:pStyle w:val="ListParagraph"/>
        <w:numPr>
          <w:ilvl w:val="0"/>
          <w:numId w:val="2"/>
        </w:numPr>
        <w:spacing w:after="80"/>
      </w:pPr>
      <w:r>
        <w:rPr>
          <w:b/>
          <w:bCs/>
        </w:rPr>
        <w:t>Paper authorship:</w:t>
      </w:r>
      <w:r>
        <w:t xml:space="preserve"> Summary A credited the 2019 paper to "Hafstad et al." The transcript supports Goulder, </w:t>
      </w:r>
      <w:proofErr w:type="spellStart"/>
      <w:r>
        <w:t>Hafstead</w:t>
      </w:r>
      <w:proofErr w:type="spellEnd"/>
      <w:r>
        <w:t>, Kim, and Long.</w:t>
      </w:r>
    </w:p>
    <w:p w14:paraId="41846221" w14:textId="77777777" w:rsidR="00082F64" w:rsidRDefault="00000000">
      <w:pPr>
        <w:pStyle w:val="ListParagraph"/>
        <w:numPr>
          <w:ilvl w:val="0"/>
          <w:numId w:val="2"/>
        </w:numPr>
        <w:spacing w:after="80"/>
      </w:pPr>
      <w:r>
        <w:rPr>
          <w:b/>
          <w:bCs/>
        </w:rPr>
        <w:t>"Regressive across all studies" (Summary A):</w:t>
      </w:r>
      <w:r>
        <w:t xml:space="preserve"> The transcript supports regressive use-side impacts in the Goulder et al. results under every recycling option and in Grainger and Kolstad. The Treasury study, ignoring recycling, found roughly proportional effects. The wording was narrowed.</w:t>
      </w:r>
    </w:p>
    <w:p w14:paraId="0EB556D8" w14:textId="77777777" w:rsidR="00082F64" w:rsidRDefault="00000000">
      <w:pPr>
        <w:pStyle w:val="ListParagraph"/>
        <w:numPr>
          <w:ilvl w:val="0"/>
          <w:numId w:val="2"/>
        </w:numPr>
        <w:spacing w:after="80"/>
      </w:pPr>
      <w:r>
        <w:rPr>
          <w:b/>
          <w:bCs/>
        </w:rPr>
        <w:t>Quintile 1 and 2 results (Summary A):</w:t>
      </w:r>
      <w:r>
        <w:t xml:space="preserve"> Summary A said Q1 and Q2 were better off under lump-sum, payroll tax, and income tax recycling. The transcript says Q1 and Q2 under lump-sum, and Q1 only under the tax-cut options.</w:t>
      </w:r>
    </w:p>
    <w:p w14:paraId="5DD1618D" w14:textId="77777777" w:rsidR="00082F64" w:rsidRDefault="00000000">
      <w:pPr>
        <w:pStyle w:val="ListParagraph"/>
        <w:numPr>
          <w:ilvl w:val="0"/>
          <w:numId w:val="2"/>
        </w:numPr>
        <w:spacing w:after="80"/>
      </w:pPr>
      <w:r>
        <w:rPr>
          <w:b/>
          <w:bCs/>
        </w:rPr>
        <w:t>No transfer indexing (Summary A):</w:t>
      </w:r>
      <w:r>
        <w:t xml:space="preserve"> "Most groups worse off" was made precise. Only Q1 under lump-sum is better off.</w:t>
      </w:r>
    </w:p>
    <w:p w14:paraId="44984A32" w14:textId="77777777" w:rsidR="00082F64" w:rsidRDefault="00000000">
      <w:pPr>
        <w:pStyle w:val="ListParagraph"/>
        <w:numPr>
          <w:ilvl w:val="0"/>
          <w:numId w:val="2"/>
        </w:numPr>
        <w:spacing w:after="80"/>
      </w:pPr>
      <w:r>
        <w:rPr>
          <w:b/>
          <w:bCs/>
        </w:rPr>
        <w:t>Virginia savings:</w:t>
      </w:r>
      <w:r>
        <w:t xml:space="preserve"> Summary A gave $12 per month and $150 per year together. The transcript attributes $12 per month to the RFF article and $150 per year to the data tool.</w:t>
      </w:r>
    </w:p>
    <w:p w14:paraId="21633031" w14:textId="77777777" w:rsidR="00082F64" w:rsidRDefault="00000000">
      <w:pPr>
        <w:pStyle w:val="Heading2"/>
      </w:pPr>
      <w:r>
        <w:t>Items to verify</w:t>
      </w:r>
    </w:p>
    <w:p w14:paraId="753C7AF9" w14:textId="77777777" w:rsidR="00082F64" w:rsidRDefault="00000000">
      <w:pPr>
        <w:pStyle w:val="ListParagraph"/>
        <w:numPr>
          <w:ilvl w:val="0"/>
          <w:numId w:val="3"/>
        </w:numPr>
        <w:spacing w:after="80"/>
      </w:pPr>
      <w:r>
        <w:rPr>
          <w:b/>
          <w:bCs/>
        </w:rPr>
        <w:t>$49 per metric ton and the "70% of households" interpretation</w:t>
      </w:r>
      <w:r>
        <w:t xml:space="preserve"> are as spoken and have not been checked against the Treasury paper [UNVERIFIED].</w:t>
      </w:r>
    </w:p>
    <w:p w14:paraId="2C46A4FC" w14:textId="77777777" w:rsidR="00082F64" w:rsidRDefault="00000000">
      <w:pPr>
        <w:pStyle w:val="ListParagraph"/>
        <w:numPr>
          <w:ilvl w:val="0"/>
          <w:numId w:val="3"/>
        </w:numPr>
        <w:spacing w:after="80"/>
      </w:pPr>
      <w:r>
        <w:rPr>
          <w:b/>
          <w:bCs/>
        </w:rPr>
        <w:t>Virginia figures</w:t>
      </w:r>
      <w:r>
        <w:t xml:space="preserve"> (6.6%, 14.2%, 7.6%, about 8%, $12 per month, $150 per year) are as spoken. Please check them against RFF's published analysis [UNVERIFIED].</w:t>
      </w:r>
    </w:p>
    <w:p w14:paraId="2D341B0F" w14:textId="77777777" w:rsidR="00082F64" w:rsidRDefault="00000000">
      <w:pPr>
        <w:pStyle w:val="ListParagraph"/>
        <w:numPr>
          <w:ilvl w:val="0"/>
          <w:numId w:val="3"/>
        </w:numPr>
        <w:spacing w:after="80"/>
      </w:pPr>
      <w:r>
        <w:rPr>
          <w:b/>
          <w:bCs/>
        </w:rPr>
        <w:t>Virginia "rejoined this year":</w:t>
      </w:r>
      <w:r>
        <w:t xml:space="preserve"> Marc said "this year." Summary A said 2026, which fits the session date.</w:t>
      </w:r>
    </w:p>
    <w:p w14:paraId="42FEDB2D" w14:textId="77777777" w:rsidR="00082F64" w:rsidRDefault="00000000">
      <w:pPr>
        <w:pStyle w:val="ListParagraph"/>
        <w:numPr>
          <w:ilvl w:val="0"/>
          <w:numId w:val="3"/>
        </w:numPr>
        <w:spacing w:after="80"/>
      </w:pPr>
      <w:r>
        <w:rPr>
          <w:b/>
          <w:bCs/>
        </w:rPr>
        <w:t>Dates:</w:t>
      </w:r>
      <w:r>
        <w:t xml:space="preserve"> October 1 (session), October 21 (feedback session), and November 5 (next session). Please check them against CCL's series page.</w:t>
      </w:r>
    </w:p>
    <w:p w14:paraId="462B2730" w14:textId="77777777" w:rsidR="00082F64" w:rsidRDefault="00000000">
      <w:pPr>
        <w:pStyle w:val="ListParagraph"/>
        <w:numPr>
          <w:ilvl w:val="0"/>
          <w:numId w:val="3"/>
        </w:numPr>
        <w:spacing w:after="80"/>
      </w:pPr>
      <w:r>
        <w:rPr>
          <w:b/>
          <w:bCs/>
        </w:rPr>
        <w:t>Spellings</w:t>
      </w:r>
      <w:r>
        <w:t xml:space="preserve"> of Grainger, Kolstad, Cronin, Fullerton, Sexton, and Horowitz were corrected from the speech-to-text and should be confirmed.</w:t>
      </w:r>
    </w:p>
    <w:sectPr w:rsidR="00082F64">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FE4F3" w14:textId="77777777" w:rsidR="007C5141" w:rsidRDefault="007C5141">
      <w:r>
        <w:separator/>
      </w:r>
    </w:p>
  </w:endnote>
  <w:endnote w:type="continuationSeparator" w:id="0">
    <w:p w14:paraId="23945255" w14:textId="77777777" w:rsidR="007C5141" w:rsidRDefault="007C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AC839" w14:textId="77777777" w:rsidR="00082F64" w:rsidRDefault="00000000">
    <w:pPr>
      <w:jc w:val="center"/>
    </w:pPr>
    <w:r>
      <w:rPr>
        <w:color w:val="666666"/>
        <w:sz w:val="18"/>
        <w:szCs w:val="18"/>
      </w:rPr>
      <w:t xml:space="preserve">Page </w:t>
    </w:r>
    <w:r>
      <w:rPr>
        <w:color w:val="666666"/>
        <w:sz w:val="18"/>
        <w:szCs w:val="18"/>
      </w:rPr>
      <w:fldChar w:fldCharType="begin"/>
    </w:r>
    <w:r>
      <w:rPr>
        <w:color w:val="666666"/>
        <w:sz w:val="18"/>
        <w:szCs w:val="18"/>
      </w:rPr>
      <w:instrText>PAGE</w:instrText>
    </w:r>
    <w:r>
      <w:rPr>
        <w:color w:val="666666"/>
        <w:sz w:val="18"/>
        <w:szCs w:val="18"/>
      </w:rPr>
      <w:fldChar w:fldCharType="separate"/>
    </w:r>
    <w:r w:rsidR="007D730A">
      <w:rPr>
        <w:noProof/>
        <w:color w:val="666666"/>
        <w:sz w:val="18"/>
        <w:szCs w:val="18"/>
      </w:rPr>
      <w:t>1</w:t>
    </w:r>
    <w:r>
      <w:rPr>
        <w:color w:val="666666"/>
        <w:sz w:val="18"/>
        <w:szCs w:val="18"/>
      </w:rPr>
      <w:fldChar w:fldCharType="end"/>
    </w:r>
    <w:r>
      <w:rPr>
        <w:color w:val="666666"/>
        <w:sz w:val="18"/>
        <w:szCs w:val="18"/>
      </w:rPr>
      <w:t xml:space="preserve"> of </w:t>
    </w:r>
    <w:r>
      <w:rPr>
        <w:color w:val="666666"/>
        <w:sz w:val="18"/>
        <w:szCs w:val="18"/>
      </w:rPr>
      <w:fldChar w:fldCharType="begin"/>
    </w:r>
    <w:r>
      <w:rPr>
        <w:color w:val="666666"/>
        <w:sz w:val="18"/>
        <w:szCs w:val="18"/>
      </w:rPr>
      <w:instrText>NUMPAGES</w:instrText>
    </w:r>
    <w:r>
      <w:rPr>
        <w:color w:val="666666"/>
        <w:sz w:val="18"/>
        <w:szCs w:val="18"/>
      </w:rPr>
      <w:fldChar w:fldCharType="separate"/>
    </w:r>
    <w:r w:rsidR="007D730A">
      <w:rPr>
        <w:noProof/>
        <w:color w:val="666666"/>
        <w:sz w:val="18"/>
        <w:szCs w:val="18"/>
      </w:rPr>
      <w:t>2</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E46DB0" w14:textId="77777777" w:rsidR="007C5141" w:rsidRDefault="007C5141">
      <w:r>
        <w:separator/>
      </w:r>
    </w:p>
  </w:footnote>
  <w:footnote w:type="continuationSeparator" w:id="0">
    <w:p w14:paraId="68C6E18C" w14:textId="77777777" w:rsidR="007C5141" w:rsidRDefault="007C5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33BCF"/>
    <w:multiLevelType w:val="hybridMultilevel"/>
    <w:tmpl w:val="86000D84"/>
    <w:lvl w:ilvl="0" w:tplc="CF9E7AEC">
      <w:start w:val="1"/>
      <w:numFmt w:val="bullet"/>
      <w:lvlText w:val="•"/>
      <w:lvlJc w:val="left"/>
      <w:pPr>
        <w:ind w:left="720" w:hanging="360"/>
      </w:pPr>
    </w:lvl>
    <w:lvl w:ilvl="1" w:tplc="41DAD29C">
      <w:start w:val="1"/>
      <w:numFmt w:val="bullet"/>
      <w:lvlText w:val="◦"/>
      <w:lvlJc w:val="left"/>
      <w:pPr>
        <w:ind w:left="1440" w:hanging="360"/>
      </w:pPr>
    </w:lvl>
    <w:lvl w:ilvl="2" w:tplc="32BA925A">
      <w:numFmt w:val="decimal"/>
      <w:lvlText w:val=""/>
      <w:lvlJc w:val="left"/>
    </w:lvl>
    <w:lvl w:ilvl="3" w:tplc="04AEF9B6">
      <w:numFmt w:val="decimal"/>
      <w:lvlText w:val=""/>
      <w:lvlJc w:val="left"/>
    </w:lvl>
    <w:lvl w:ilvl="4" w:tplc="3DA43D64">
      <w:numFmt w:val="decimal"/>
      <w:lvlText w:val=""/>
      <w:lvlJc w:val="left"/>
    </w:lvl>
    <w:lvl w:ilvl="5" w:tplc="91F022AA">
      <w:numFmt w:val="decimal"/>
      <w:lvlText w:val=""/>
      <w:lvlJc w:val="left"/>
    </w:lvl>
    <w:lvl w:ilvl="6" w:tplc="37262D94">
      <w:numFmt w:val="decimal"/>
      <w:lvlText w:val=""/>
      <w:lvlJc w:val="left"/>
    </w:lvl>
    <w:lvl w:ilvl="7" w:tplc="06C2A778">
      <w:numFmt w:val="decimal"/>
      <w:lvlText w:val=""/>
      <w:lvlJc w:val="left"/>
    </w:lvl>
    <w:lvl w:ilvl="8" w:tplc="49F6B552">
      <w:numFmt w:val="decimal"/>
      <w:lvlText w:val=""/>
      <w:lvlJc w:val="left"/>
    </w:lvl>
  </w:abstractNum>
  <w:abstractNum w:abstractNumId="1" w15:restartNumberingAfterBreak="0">
    <w:nsid w:val="1D2B3EF6"/>
    <w:multiLevelType w:val="hybridMultilevel"/>
    <w:tmpl w:val="6DB8B2B8"/>
    <w:lvl w:ilvl="0" w:tplc="D3F26362">
      <w:start w:val="1"/>
      <w:numFmt w:val="decimal"/>
      <w:lvlText w:val="%1."/>
      <w:lvlJc w:val="left"/>
      <w:pPr>
        <w:ind w:left="720" w:hanging="360"/>
      </w:pPr>
    </w:lvl>
    <w:lvl w:ilvl="1" w:tplc="3F70F9AE">
      <w:numFmt w:val="decimal"/>
      <w:lvlText w:val=""/>
      <w:lvlJc w:val="left"/>
    </w:lvl>
    <w:lvl w:ilvl="2" w:tplc="4A0E4E00">
      <w:numFmt w:val="decimal"/>
      <w:lvlText w:val=""/>
      <w:lvlJc w:val="left"/>
    </w:lvl>
    <w:lvl w:ilvl="3" w:tplc="C2ACF646">
      <w:numFmt w:val="decimal"/>
      <w:lvlText w:val=""/>
      <w:lvlJc w:val="left"/>
    </w:lvl>
    <w:lvl w:ilvl="4" w:tplc="612C3D3E">
      <w:numFmt w:val="decimal"/>
      <w:lvlText w:val=""/>
      <w:lvlJc w:val="left"/>
    </w:lvl>
    <w:lvl w:ilvl="5" w:tplc="E802433C">
      <w:numFmt w:val="decimal"/>
      <w:lvlText w:val=""/>
      <w:lvlJc w:val="left"/>
    </w:lvl>
    <w:lvl w:ilvl="6" w:tplc="C11AA06A">
      <w:numFmt w:val="decimal"/>
      <w:lvlText w:val=""/>
      <w:lvlJc w:val="left"/>
    </w:lvl>
    <w:lvl w:ilvl="7" w:tplc="7792AF40">
      <w:numFmt w:val="decimal"/>
      <w:lvlText w:val=""/>
      <w:lvlJc w:val="left"/>
    </w:lvl>
    <w:lvl w:ilvl="8" w:tplc="AAEA7460">
      <w:numFmt w:val="decimal"/>
      <w:lvlText w:val=""/>
      <w:lvlJc w:val="left"/>
    </w:lvl>
  </w:abstractNum>
  <w:abstractNum w:abstractNumId="2" w15:restartNumberingAfterBreak="0">
    <w:nsid w:val="5C7F2E14"/>
    <w:multiLevelType w:val="hybridMultilevel"/>
    <w:tmpl w:val="BFD839E8"/>
    <w:lvl w:ilvl="0" w:tplc="FD926414">
      <w:start w:val="1"/>
      <w:numFmt w:val="bullet"/>
      <w:lvlText w:val="●"/>
      <w:lvlJc w:val="left"/>
      <w:pPr>
        <w:ind w:left="720" w:hanging="360"/>
      </w:pPr>
    </w:lvl>
    <w:lvl w:ilvl="1" w:tplc="B7AA8BD8">
      <w:start w:val="1"/>
      <w:numFmt w:val="bullet"/>
      <w:lvlText w:val="○"/>
      <w:lvlJc w:val="left"/>
      <w:pPr>
        <w:ind w:left="1440" w:hanging="360"/>
      </w:pPr>
    </w:lvl>
    <w:lvl w:ilvl="2" w:tplc="5B22A05A">
      <w:start w:val="1"/>
      <w:numFmt w:val="bullet"/>
      <w:lvlText w:val="■"/>
      <w:lvlJc w:val="left"/>
      <w:pPr>
        <w:ind w:left="2160" w:hanging="360"/>
      </w:pPr>
    </w:lvl>
    <w:lvl w:ilvl="3" w:tplc="452AB632">
      <w:start w:val="1"/>
      <w:numFmt w:val="bullet"/>
      <w:lvlText w:val="●"/>
      <w:lvlJc w:val="left"/>
      <w:pPr>
        <w:ind w:left="2880" w:hanging="360"/>
      </w:pPr>
    </w:lvl>
    <w:lvl w:ilvl="4" w:tplc="2F308E40">
      <w:start w:val="1"/>
      <w:numFmt w:val="bullet"/>
      <w:lvlText w:val="○"/>
      <w:lvlJc w:val="left"/>
      <w:pPr>
        <w:ind w:left="3600" w:hanging="360"/>
      </w:pPr>
    </w:lvl>
    <w:lvl w:ilvl="5" w:tplc="BDF4E3D8">
      <w:start w:val="1"/>
      <w:numFmt w:val="bullet"/>
      <w:lvlText w:val="■"/>
      <w:lvlJc w:val="left"/>
      <w:pPr>
        <w:ind w:left="4320" w:hanging="360"/>
      </w:pPr>
    </w:lvl>
    <w:lvl w:ilvl="6" w:tplc="75B29092">
      <w:start w:val="1"/>
      <w:numFmt w:val="bullet"/>
      <w:lvlText w:val="●"/>
      <w:lvlJc w:val="left"/>
      <w:pPr>
        <w:ind w:left="5040" w:hanging="360"/>
      </w:pPr>
    </w:lvl>
    <w:lvl w:ilvl="7" w:tplc="C2082E94">
      <w:start w:val="1"/>
      <w:numFmt w:val="bullet"/>
      <w:lvlText w:val="●"/>
      <w:lvlJc w:val="left"/>
      <w:pPr>
        <w:ind w:left="5760" w:hanging="360"/>
      </w:pPr>
    </w:lvl>
    <w:lvl w:ilvl="8" w:tplc="31862D1C">
      <w:start w:val="1"/>
      <w:numFmt w:val="bullet"/>
      <w:lvlText w:val="●"/>
      <w:lvlJc w:val="left"/>
      <w:pPr>
        <w:ind w:left="6480" w:hanging="360"/>
      </w:pPr>
    </w:lvl>
  </w:abstractNum>
  <w:num w:numId="1" w16cid:durableId="69541627">
    <w:abstractNumId w:val="2"/>
    <w:lvlOverride w:ilvl="0">
      <w:startOverride w:val="1"/>
    </w:lvlOverride>
  </w:num>
  <w:num w:numId="2" w16cid:durableId="657809673">
    <w:abstractNumId w:val="0"/>
    <w:lvlOverride w:ilvl="0">
      <w:startOverride w:val="1"/>
    </w:lvlOverride>
  </w:num>
  <w:num w:numId="3" w16cid:durableId="212036818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F64"/>
    <w:rsid w:val="00082F64"/>
    <w:rsid w:val="00634CE0"/>
    <w:rsid w:val="007C5141"/>
    <w:rsid w:val="007D7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83EFF7"/>
  <w15:docId w15:val="{B1A0DFE2-3DD5-A741-AFE2-C77BBF46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864"/>
      <w:sz w:val="30"/>
      <w:szCs w:val="30"/>
    </w:rPr>
  </w:style>
  <w:style w:type="paragraph" w:styleId="Heading2">
    <w:name w:val="heading 2"/>
    <w:uiPriority w:val="9"/>
    <w:unhideWhenUsed/>
    <w:qFormat/>
    <w:pPr>
      <w:spacing w:before="280" w:after="120"/>
      <w:outlineLvl w:val="1"/>
    </w:pPr>
    <w:rPr>
      <w:b/>
      <w:bCs/>
      <w:color w:val="2F549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20"/>
    </w:pPr>
    <w:rPr>
      <w:b/>
      <w:bCs/>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citizensclimate.org" TargetMode="External"/><Relationship Id="rId3" Type="http://schemas.openxmlformats.org/officeDocument/2006/relationships/settings" Target="settings.xml"/><Relationship Id="rId7" Type="http://schemas.openxmlformats.org/officeDocument/2006/relationships/hyperlink" Target="https://www.rff.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1513</Words>
  <Characters>10371</Characters>
  <Application>Microsoft Office Word</Application>
  <DocSecurity>0</DocSecurity>
  <Lines>648</Lines>
  <Paragraphs>252</Paragraphs>
  <ScaleCrop>false</ScaleCrop>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Pricing 201: Final Summary</dc:title>
  <dc:creator>Wayne Willis</dc:creator>
  <cp:lastModifiedBy>Wayne Willis</cp:lastModifiedBy>
  <cp:revision>2</cp:revision>
  <dcterms:created xsi:type="dcterms:W3CDTF">2026-10-03T16:20:00Z</dcterms:created>
  <dcterms:modified xsi:type="dcterms:W3CDTF">2026-10-03T17:08:00Z</dcterms:modified>
</cp:coreProperties>
</file>